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spacing w:before="4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深圳市安高模具有限公司</w:t>
      </w:r>
    </w:p>
    <w:p>
      <w:pPr>
        <w:spacing w:line="360" w:lineRule="auto"/>
        <w:jc w:val="center"/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Shenzhen Ang</w:t>
      </w:r>
      <w:bookmarkStart w:id="19" w:name="_GoBack"/>
      <w:bookmarkEnd w:id="19"/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o Mold Co., Ltd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202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年</w:t>
      </w:r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企业</w:t>
      </w: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社会责任报告</w:t>
      </w:r>
    </w:p>
    <w:p>
      <w:pPr>
        <w:pStyle w:val="11"/>
        <w:rPr>
          <w:lang w:eastAsia="zh-CN"/>
        </w:rPr>
      </w:pPr>
    </w:p>
    <w:p>
      <w:pPr>
        <w:pStyle w:val="11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>
      <w:pPr>
        <w:pStyle w:val="11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>
      <w:pPr>
        <w:pStyle w:val="7"/>
        <w:spacing w:before="6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4450080" cy="3337560"/>
            <wp:effectExtent l="9525" t="9525" r="17145" b="247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firstLine="562" w:firstLineChars="200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>
      <w:pPr>
        <w:pStyle w:val="7"/>
        <w:spacing w:before="8" w:line="360" w:lineRule="auto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>
      <w:pPr>
        <w:pStyle w:val="7"/>
        <w:spacing w:before="8" w:line="360" w:lineRule="auto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>
      <w:pPr>
        <w:pStyle w:val="7"/>
        <w:spacing w:before="8" w:line="360" w:lineRule="auto"/>
        <w:rPr>
          <w:rFonts w:hint="eastAsia" w:ascii="Times New Roman" w:hAnsi="Times New Roman" w:cs="Times New Roman"/>
          <w:b/>
          <w:sz w:val="28"/>
          <w:szCs w:val="28"/>
          <w:lang w:eastAsia="zh-CN"/>
        </w:rPr>
      </w:pPr>
    </w:p>
    <w:p>
      <w:pPr>
        <w:pStyle w:val="7"/>
        <w:spacing w:before="8" w:line="360" w:lineRule="auto"/>
        <w:rPr>
          <w:rFonts w:hint="eastAsia" w:ascii="Times New Roman" w:hAnsi="Times New Roman" w:cs="Times New Roman"/>
          <w:b/>
          <w:sz w:val="28"/>
          <w:szCs w:val="28"/>
          <w:lang w:eastAsia="zh-CN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深圳市安高模具有限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公司</w:t>
      </w:r>
    </w:p>
    <w:p>
      <w:pPr>
        <w:spacing w:line="360" w:lineRule="auto"/>
        <w:jc w:val="center"/>
        <w:rPr>
          <w:rFonts w:ascii="Times New Roman" w:hAnsi="Times New Roman" w:cs="Times New Roman"/>
          <w:spacing w:val="-51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2</w:t>
      </w: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02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年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04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月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28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日</w:t>
      </w:r>
    </w:p>
    <w:p>
      <w:pPr>
        <w:spacing w:line="360" w:lineRule="auto"/>
        <w:ind w:left="1" w:firstLine="356" w:firstLineChars="200"/>
        <w:jc w:val="center"/>
        <w:rPr>
          <w:rFonts w:ascii="Times New Roman" w:hAnsi="Times New Roman" w:cs="Times New Roman"/>
          <w:spacing w:val="-51"/>
          <w:sz w:val="28"/>
          <w:szCs w:val="28"/>
          <w:lang w:eastAsia="zh-CN"/>
        </w:rPr>
        <w:sectPr>
          <w:footerReference r:id="rId3" w:type="default"/>
          <w:pgSz w:w="11910" w:h="16840"/>
          <w:pgMar w:top="1440" w:right="1800" w:bottom="1440" w:left="1800" w:header="720" w:footer="987" w:gutter="0"/>
          <w:cols w:space="720" w:num="1"/>
        </w:sectPr>
      </w:pPr>
    </w:p>
    <w:p>
      <w:pPr>
        <w:pStyle w:val="11"/>
        <w:pBdr>
          <w:left w:val="none" w:color="auto" w:sz="0" w:space="0"/>
        </w:pBd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关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于本报告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时间范围：</w:t>
      </w:r>
      <w:r>
        <w:rPr>
          <w:rFonts w:ascii="Times New Roman" w:hAnsi="Times New Roman" w:cs="Times New Roman"/>
          <w:sz w:val="24"/>
          <w:szCs w:val="24"/>
          <w:lang w:eastAsia="zh-CN"/>
        </w:rPr>
        <w:t>202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年1月1日至202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年12月3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1日，</w:t>
      </w:r>
      <w:r>
        <w:rPr>
          <w:rFonts w:ascii="Times New Roman" w:hAnsi="Times New Roman" w:cs="Times New Roman"/>
          <w:sz w:val="24"/>
          <w:szCs w:val="24"/>
          <w:lang w:eastAsia="zh-CN"/>
        </w:rPr>
        <w:t>以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年为主，部分数据可能超出此范围。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组织范围：</w:t>
      </w:r>
      <w:r>
        <w:rPr>
          <w:rFonts w:ascii="Times New Roman" w:hAnsi="Times New Roman" w:cs="Times New Roman"/>
          <w:sz w:val="24"/>
          <w:szCs w:val="24"/>
          <w:lang w:eastAsia="zh-CN"/>
        </w:rPr>
        <w:t>本报告组织范围为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深圳市安高模具有限公司</w:t>
      </w:r>
      <w:r>
        <w:rPr>
          <w:rFonts w:ascii="Times New Roman" w:hAnsi="Times New Roman" w:cs="Times New Roman"/>
          <w:sz w:val="24"/>
          <w:szCs w:val="24"/>
          <w:lang w:eastAsia="zh-CN"/>
        </w:rPr>
        <w:t>。在报告中，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深圳市安高模具有限公司</w:t>
      </w:r>
      <w:r>
        <w:rPr>
          <w:rFonts w:ascii="Times New Roman" w:hAnsi="Times New Roman" w:cs="Times New Roman"/>
          <w:sz w:val="24"/>
          <w:szCs w:val="24"/>
          <w:lang w:eastAsia="zh-CN"/>
        </w:rPr>
        <w:t>有时也以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“安高模具”</w:t>
      </w:r>
      <w:r>
        <w:rPr>
          <w:rFonts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公司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我们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表述。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发布情况：</w:t>
      </w:r>
      <w:r>
        <w:rPr>
          <w:rFonts w:ascii="Times New Roman" w:hAnsi="Times New Roman" w:cs="Times New Roman"/>
          <w:sz w:val="24"/>
          <w:szCs w:val="24"/>
          <w:lang w:eastAsia="zh-CN"/>
        </w:rPr>
        <w:t>本报告是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深圳市安高模具有限公司</w:t>
      </w:r>
      <w:r>
        <w:rPr>
          <w:rFonts w:ascii="Times New Roman" w:hAnsi="Times New Roman" w:cs="Times New Roman"/>
          <w:sz w:val="24"/>
          <w:szCs w:val="24"/>
          <w:lang w:eastAsia="zh-CN"/>
        </w:rPr>
        <w:t>发布的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第一份</w:t>
      </w:r>
      <w:r>
        <w:rPr>
          <w:rFonts w:ascii="Times New Roman" w:hAnsi="Times New Roman" w:cs="Times New Roman"/>
          <w:sz w:val="24"/>
          <w:szCs w:val="24"/>
          <w:lang w:eastAsia="zh-CN"/>
        </w:rPr>
        <w:t>社会责任报告，自202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年起计划每年发布一次。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编制依据：</w:t>
      </w:r>
      <w:r>
        <w:rPr>
          <w:rFonts w:ascii="Times New Roman" w:hAnsi="Times New Roman" w:cs="Times New Roman"/>
          <w:sz w:val="24"/>
          <w:szCs w:val="24"/>
          <w:lang w:eastAsia="zh-CN"/>
        </w:rPr>
        <w:t>国际标准化组织《ISO26000：社会责任指南（2010）》、全球报告倡议组织《可持续发展报告指南（G4）》。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数据说明：</w:t>
      </w:r>
      <w:r>
        <w:rPr>
          <w:rFonts w:ascii="Times New Roman" w:hAnsi="Times New Roman" w:cs="Times New Roman"/>
          <w:sz w:val="24"/>
          <w:szCs w:val="24"/>
          <w:lang w:eastAsia="zh-CN"/>
        </w:rPr>
        <w:t>本报告所引用的信息数据均来自公司正式文件、统计报告与财务报告，以及经由公司社会责任管理部门统计与审核的可持续发展相关信息。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可靠性保证:</w:t>
      </w:r>
      <w:r>
        <w:rPr>
          <w:rFonts w:ascii="Times New Roman" w:hAnsi="Times New Roman" w:cs="Times New Roman"/>
          <w:sz w:val="24"/>
          <w:szCs w:val="24"/>
          <w:lang w:eastAsia="zh-CN"/>
        </w:rPr>
        <w:t>本公司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总经理</w:t>
      </w:r>
      <w:r>
        <w:rPr>
          <w:rFonts w:ascii="Times New Roman" w:hAnsi="Times New Roman" w:cs="Times New Roman"/>
          <w:sz w:val="24"/>
          <w:szCs w:val="24"/>
          <w:lang w:eastAsia="zh-CN"/>
        </w:rPr>
        <w:t>保证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ascii="Times New Roman" w:hAnsi="Times New Roman" w:cs="Times New Roman"/>
          <w:sz w:val="24"/>
          <w:szCs w:val="24"/>
          <w:lang w:eastAsia="zh-CN"/>
        </w:rPr>
        <w:t>本报告内容不存在任何虚假记载、误导性陈述或重大遗漏，并对其内容的真实性、准确性和完整性承担个别及连带责任。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语言版</w:t>
      </w:r>
      <w:r>
        <w:rPr>
          <w:rFonts w:ascii="Times New Roman" w:hAnsi="Times New Roman" w:cs="Times New Roman"/>
          <w:sz w:val="24"/>
          <w:szCs w:val="24"/>
          <w:lang w:eastAsia="zh-CN"/>
        </w:rPr>
        <w:t>本：本报告为中文版。</w:t>
      </w:r>
    </w:p>
    <w:p>
      <w:pPr>
        <w:pStyle w:val="11"/>
        <w:pBdr>
          <w:left w:val="none" w:color="auto" w:sz="0" w:space="0"/>
        </w:pBdr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邮编：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518103</w:t>
      </w:r>
    </w:p>
    <w:p>
      <w:pPr>
        <w:pStyle w:val="11"/>
        <w:pBdr>
          <w:left w:val="none" w:color="auto" w:sz="0" w:space="0"/>
        </w:pBdr>
        <w:shd w:val="clear"/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电话：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27908580</w:t>
      </w:r>
    </w:p>
    <w:p>
      <w:pPr>
        <w:pStyle w:val="11"/>
        <w:pBdr>
          <w:left w:val="none" w:color="auto" w:sz="0" w:space="0"/>
        </w:pBdr>
        <w:shd w:val="clear"/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eastAsia="zh-CN"/>
        </w:rPr>
        <w:t>邮箱：</w:t>
      </w:r>
      <w:r>
        <w:rPr>
          <w:rFonts w:hint="default" w:ascii="Times New Roman" w:hAnsi="Times New Roman" w:eastAsia="宋体" w:cs="Times New Roman"/>
          <w:sz w:val="24"/>
          <w:szCs w:val="24"/>
        </w:rPr>
        <w:t>Jon.Wang@angomould.com</w:t>
      </w:r>
    </w:p>
    <w:p>
      <w:pPr>
        <w:pStyle w:val="12"/>
        <w:tabs>
          <w:tab w:val="right" w:leader="dot" w:pos="8306"/>
        </w:tabs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</w:p>
    <w:p>
      <w:pPr>
        <w:pStyle w:val="12"/>
        <w:tabs>
          <w:tab w:val="right" w:leader="dot" w:pos="8306"/>
        </w:tabs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</w:p>
    <w:p>
      <w:pPr>
        <w:pStyle w:val="12"/>
        <w:tabs>
          <w:tab w:val="right" w:leader="dot" w:pos="8306"/>
        </w:tabs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</w:p>
    <w:p>
      <w:pPr>
        <w:pStyle w:val="12"/>
        <w:tabs>
          <w:tab w:val="right" w:leader="dot" w:pos="8306"/>
        </w:tabs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</w:p>
    <w:p>
      <w:pPr>
        <w:pStyle w:val="12"/>
        <w:tabs>
          <w:tab w:val="right" w:leader="dot" w:pos="8306"/>
        </w:tabs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</w:p>
    <w:p>
      <w:pPr>
        <w:pStyle w:val="12"/>
        <w:tabs>
          <w:tab w:val="right" w:leader="dot" w:pos="8306"/>
        </w:tabs>
        <w:jc w:val="center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</w:p>
    <w:p>
      <w:pPr>
        <w:pStyle w:val="12"/>
        <w:keepNext w:val="0"/>
        <w:keepLines w:val="0"/>
        <w:pageBreakBefore/>
        <w:widowControl w:val="0"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ascii="Times New Roman" w:hAnsi="Times New Roman" w:eastAsia="宋体" w:cs="Times New Roman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目录</w:t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ascii="宋体" w:hAnsi="宋体" w:eastAsia="宋体" w:cs="Times New Roman"/>
          <w:bCs/>
          <w:szCs w:val="28"/>
          <w:lang w:eastAsia="zh-CN"/>
        </w:rPr>
        <w:fldChar w:fldCharType="begin"/>
      </w:r>
      <w:r>
        <w:rPr>
          <w:rFonts w:hint="eastAsia" w:ascii="宋体" w:hAnsi="宋体" w:eastAsia="宋体" w:cs="Times New Roman"/>
          <w:bCs/>
          <w:szCs w:val="28"/>
          <w:lang w:eastAsia="zh-CN"/>
        </w:rPr>
        <w:instrText xml:space="preserve">TOC \o "1-3" \h \u </w:instrText>
      </w:r>
      <w:r>
        <w:rPr>
          <w:rFonts w:hint="eastAsia" w:ascii="宋体" w:hAnsi="宋体" w:eastAsia="宋体" w:cs="Times New Roman"/>
          <w:bCs/>
          <w:szCs w:val="28"/>
          <w:lang w:eastAsia="zh-CN"/>
        </w:rPr>
        <w:fldChar w:fldCharType="separate"/>
      </w:r>
      <w:r>
        <w:rPr>
          <w:rFonts w:hint="eastAsia" w:ascii="宋体" w:hAnsi="宋体" w:eastAsia="宋体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Times New Roman"/>
          <w:bCs/>
          <w:sz w:val="24"/>
          <w:szCs w:val="24"/>
          <w:lang w:eastAsia="zh-CN"/>
        </w:rPr>
        <w:instrText xml:space="preserve"> HYPERLINK \l _Toc25527 </w:instrText>
      </w:r>
      <w:r>
        <w:rPr>
          <w:rFonts w:hint="eastAsia" w:ascii="宋体" w:hAnsi="宋体" w:eastAsia="宋体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第一章  走进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安高模具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_Toc25527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_Toc3858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一、公司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简介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_Toc3858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_Toc2176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二、公司组织架构图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_Toc2176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_Toc16037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三、</w:t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公司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目的&amp;我们的使命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_Toc16037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_Toc13850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四、公司获得的荣誉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_Toc13850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_Toc15998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第二章  建立高效管理机制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_Toc15998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_Toc25530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一、</w:t>
      </w:r>
      <w:r>
        <w:rPr>
          <w:rFonts w:hint="eastAsia" w:ascii="Times New Roman" w:hAnsi="Times New Roman" w:cs="Times New Roman"/>
          <w:bCs/>
          <w:sz w:val="24"/>
          <w:szCs w:val="24"/>
          <w:lang w:eastAsia="zh-CN"/>
        </w:rPr>
        <w:t>高效管理机制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_Toc25530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_Toc22719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bCs/>
          <w:i w:val="0"/>
          <w:iCs w:val="0"/>
          <w:sz w:val="24"/>
          <w:szCs w:val="24"/>
          <w:lang w:val="en-US" w:eastAsia="zh-CN"/>
        </w:rPr>
        <w:t>二、</w:t>
      </w:r>
      <w:r>
        <w:rPr>
          <w:rFonts w:hint="eastAsia" w:ascii="Times New Roman" w:hAnsi="Times New Roman" w:cs="Times New Roman"/>
          <w:bCs/>
          <w:i w:val="0"/>
          <w:iCs w:val="0"/>
          <w:sz w:val="24"/>
          <w:szCs w:val="24"/>
          <w:lang w:eastAsia="zh-CN"/>
        </w:rPr>
        <w:t>与利益相关方携手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_Toc22719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_Toc11185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第三章 缔造员工成长的幸福家园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_Toc11185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_Toc15431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一、保障员工合法权益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_Toc15431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_Toc20463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二、成就员工事业梦想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_Toc20463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_Toc24489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第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章 绿色发展之路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_Toc24489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_Toc16277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一、环境管理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_Toc16277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_Toc25843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二、</w:t>
      </w:r>
      <w:r>
        <w:rPr>
          <w:rFonts w:ascii="Times New Roman" w:hAnsi="Times New Roman" w:cs="Times New Roman"/>
          <w:sz w:val="24"/>
          <w:szCs w:val="24"/>
          <w:lang w:eastAsia="zh-CN"/>
        </w:rPr>
        <w:t>节能降耗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_Toc25843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_Toc3618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第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五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章 诚实守信共促行业发展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_Toc3618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_Toc19627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一、强化廉洁治理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_Toc19627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_Toc4352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二、恪守商业伦理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_Toc4352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_Toc31141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三、携手绿色供应链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_Toc31141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</w:pPr>
      <w:r>
        <w:rPr>
          <w:rFonts w:hint="eastAsia" w:cs="Times New Roman"/>
          <w:bCs/>
          <w:sz w:val="24"/>
          <w:szCs w:val="24"/>
          <w:lang w:eastAsia="zh-CN"/>
        </w:rPr>
        <w:fldChar w:fldCharType="begin"/>
      </w:r>
      <w:r>
        <w:rPr>
          <w:rFonts w:hint="eastAsia" w:cs="Times New Roman"/>
          <w:bCs/>
          <w:sz w:val="24"/>
          <w:szCs w:val="24"/>
          <w:lang w:eastAsia="zh-CN"/>
        </w:rPr>
        <w:instrText xml:space="preserve"> HYPERLINK \l _Toc15992 </w:instrText>
      </w:r>
      <w:r>
        <w:rPr>
          <w:rFonts w:hint="eastAsia" w:cs="Times New Roman"/>
          <w:bCs/>
          <w:sz w:val="24"/>
          <w:szCs w:val="24"/>
          <w:lang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第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六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 xml:space="preserve">章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未来展望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_Toc15992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rFonts w:hint="eastAsia" w:cs="Times New Roman"/>
          <w:bCs/>
          <w:sz w:val="24"/>
          <w:szCs w:val="24"/>
          <w:lang w:eastAsia="zh-CN"/>
        </w:rPr>
        <w:fldChar w:fldCharType="end"/>
      </w:r>
    </w:p>
    <w:p>
      <w:pPr>
        <w:adjustRightInd w:val="0"/>
        <w:spacing w:line="360" w:lineRule="auto"/>
        <w:ind w:left="622" w:firstLine="440" w:firstLineChars="200"/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cs="Times New Roman"/>
          <w:bCs/>
          <w:szCs w:val="28"/>
          <w:lang w:eastAsia="zh-CN"/>
        </w:rPr>
        <w:fldChar w:fldCharType="end"/>
      </w:r>
    </w:p>
    <w:p>
      <w:pPr>
        <w:pageBreakBefore/>
        <w:adjustRightInd w:val="0"/>
        <w:spacing w:line="360" w:lineRule="auto"/>
        <w:jc w:val="center"/>
        <w:rPr>
          <w:lang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总经理</w:t>
      </w: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致辞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履行企业社会责任是深圳市安高模具有限公司的核心价值理念，我们始终坚持“致力友好和谐发展、促进员工健康成长、奉献爱心回报社会、做负责的企业公民”的宗旨，切实推进公司生产经营的可持续发展。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年，面对错综复杂的市场形势，公司践行绿色发展观，面对新的机遇和挑战，一抓安全、二抓环保，在此基础上的经营活动做到了高效经营，履行了企业的经济责任和社会责任。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202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年将继续全面提升管理效能，加强有效监督，经营管理做到进一步的精细和规范，同时加大力度提升信息化管理水平。结合业务需要，深化ERP应用，为公司实现精细管理、规范管理提供信息平台和技术保障。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深入、全面提升质量管理水平，深化ISO9001的各项要求；以人为本，建设一流的员工队伍职业发展通道、加快人才成长的步伐；巩固环境、职业健康体系认证成果，实现安全、环境一体化管理，把关爱员工健康与确保企业安全，加强环境保护等工作有机统一起来，形成团结协作、和谐包容的企业文化氛围；更加积极地参与社会公益事业，努力推进和谐社会建设。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通过不断努力，我们得到了社会以及地方的肯定，希望能通过此报告与社会各界和利益相关方积极沟通，听取意见、收集建议、接受监督，为进一步做好企业社会责任工作创造条件。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“千里之行，始于足下；驽马十驾，功在不舍”——展望未来，公司将继续践行绿色发展理念，更加突出发展质量和效益，更加突出技术进步和绿色低碳，更加突出以人为本的企业文化，为企业、社会、员工的共同发展而努力奋斗！</w:t>
      </w:r>
    </w:p>
    <w:p>
      <w:pPr>
        <w:rPr>
          <w:lang w:eastAsia="zh-CN"/>
        </w:rPr>
      </w:pPr>
    </w:p>
    <w:p>
      <w:pPr>
        <w:pStyle w:val="11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>
      <w:pPr>
        <w:pStyle w:val="11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>
      <w:pPr>
        <w:pStyle w:val="11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总经理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范国强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2025年04月28日</w:t>
      </w:r>
    </w:p>
    <w:p>
      <w:pPr>
        <w:pageBreakBefore/>
        <w:adjustRightInd w:val="0"/>
        <w:spacing w:line="360" w:lineRule="auto"/>
        <w:jc w:val="center"/>
        <w:outlineLvl w:val="0"/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ageBreakBefore/>
        <w:adjustRightInd w:val="0"/>
        <w:spacing w:line="360" w:lineRule="auto"/>
        <w:jc w:val="center"/>
        <w:outlineLvl w:val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bookmarkStart w:id="0" w:name="_Toc25527"/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第一章  走进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安高模具</w:t>
      </w:r>
      <w:bookmarkEnd w:id="0"/>
    </w:p>
    <w:p>
      <w:pPr>
        <w:adjustRightInd w:val="0"/>
        <w:spacing w:line="360" w:lineRule="auto"/>
        <w:outlineLvl w:val="1"/>
        <w:rPr>
          <w:rFonts w:ascii="Times New Roman" w:hAnsi="Times New Roman" w:cs="Times New Roman"/>
          <w:sz w:val="24"/>
          <w:szCs w:val="24"/>
          <w:lang w:eastAsia="zh-CN"/>
        </w:rPr>
      </w:pPr>
      <w:bookmarkStart w:id="1" w:name="_Toc3858"/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一、公司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简介</w:t>
      </w:r>
      <w:bookmarkEnd w:id="1"/>
    </w:p>
    <w:p>
      <w:pPr>
        <w:adjustRightInd w:val="0"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深圳市安高模具有限公司成立于2007年02月，注册资本1000万元，位于深圳市宝安区福海街道新和社区富桥三区龙辉工业园5号厂房101，占地面积3500平方米。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公司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是一家集注塑模具设计、制造与注塑成型为一体的专业生产制造企业，配备了国内外高端的高精密生产及测量设备，可为注塑模具及塑胶产品提供全方位的解决方案，年制模能力500余套。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公司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在注塑模具行业，属于领先企业，对热流道模、双色三色模、包胶模、抽芯模、叠层模、多腔模等结构复杂，工艺难度高的模具设计与制造有丰富的经验，对各类工程塑料、加纤塑料的工程性能及物料属性具有较深的理解。</w:t>
      </w:r>
    </w:p>
    <w:p>
      <w:pPr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94860" cy="2700020"/>
            <wp:effectExtent l="9525" t="9525" r="24765" b="14605"/>
            <wp:docPr id="1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7560" cy="2700020"/>
            <wp:effectExtent l="9525" t="9525" r="12065" b="14605"/>
            <wp:docPr id="1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bookmarkStart w:id="2" w:name="_Toc2176"/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二、公司组织架构图</w:t>
      </w:r>
      <w:bookmarkEnd w:id="2"/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8268335" cy="3576955"/>
            <wp:effectExtent l="0" t="0" r="18415" b="4445"/>
            <wp:docPr id="6" name="图片 6" descr="2.组织架构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.组织架构图_00"/>
                    <pic:cNvPicPr>
                      <a:picLocks noChangeAspect="1"/>
                    </pic:cNvPicPr>
                  </pic:nvPicPr>
                  <pic:blipFill>
                    <a:blip r:embed="rId11"/>
                    <a:srcRect l="8597" t="20904" r="8629" b="28453"/>
                    <a:stretch>
                      <a:fillRect/>
                    </a:stretch>
                  </pic:blipFill>
                  <pic:spPr>
                    <a:xfrm>
                      <a:off x="0" y="0"/>
                      <a:ext cx="826833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50"/>
        </w:tabs>
        <w:jc w:val="center"/>
        <w:rPr>
          <w:lang w:eastAsia="zh-CN"/>
        </w:rPr>
        <w:sectPr>
          <w:pgSz w:w="16838" w:h="11906" w:orient="landscape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adjustRightInd w:val="0"/>
        <w:spacing w:line="360" w:lineRule="auto"/>
        <w:outlineLvl w:val="1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bookmarkStart w:id="3" w:name="_Toc16037"/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公司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目的&amp;我们的使命</w:t>
      </w:r>
      <w:bookmarkEnd w:id="3"/>
    </w:p>
    <w:p>
      <w:pPr>
        <w:pStyle w:val="11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公司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是一家集创新，研发，生产塑胶模具，配件和产品.为一体的全球服务解决方案供应商。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textAlignment w:val="auto"/>
        <w:outlineLvl w:val="9"/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7960" cy="1325245"/>
            <wp:effectExtent l="0" t="0" r="889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共同创造有影响力的产品，积极地推动我们的合作伙伴前进。</w:t>
      </w:r>
    </w:p>
    <w:p>
      <w:pPr>
        <w:adjustRightIn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缩小概念和产品之间的差距，这将支撑我们实现最终目标。</w:t>
      </w:r>
    </w:p>
    <w:p>
      <w:pPr>
        <w:adjustRightIn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......通过共识协同为我们的全球客户创造价值。</w:t>
      </w:r>
    </w:p>
    <w:p>
      <w:pPr>
        <w:adjustRightIn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我们相信良好的制造和良好的制造创新可以为世界带来更好的生活。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textAlignment w:val="auto"/>
        <w:outlineLvl w:val="9"/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</w:pPr>
    </w:p>
    <w:p>
      <w:pPr>
        <w:pStyle w:val="11"/>
        <w:outlineLvl w:val="1"/>
        <w:rPr>
          <w:b/>
          <w:bCs/>
          <w:sz w:val="28"/>
          <w:szCs w:val="28"/>
          <w:lang w:eastAsia="zh-CN"/>
        </w:rPr>
      </w:pPr>
      <w:bookmarkStart w:id="4" w:name="_Toc13850"/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四、公司获得的荣誉</w:t>
      </w:r>
      <w:bookmarkEnd w:id="4"/>
    </w:p>
    <w:p>
      <w:pPr>
        <w:adjustRightInd w:val="0"/>
        <w:spacing w:line="360" w:lineRule="auto"/>
        <w:ind w:firstLine="480" w:firstLineChars="200"/>
        <w:rPr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公司拥有完善的管理组织机构及管理体系，建有质量管理体系、环境管理体系、职业健康安全管理体系、能源管理体系，且全部通过认证。申报工厂以管理体系的有效运行推进质量控制、环境保护、安全落实、能效管控等标准化管理。申报工厂于2022年被评为高新技术企业和创新型中小企业，2023年被评为专精特新中小企业，2024年被评为科技型中小企业，同时拥有实用新型专利18项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。</w:t>
      </w:r>
    </w:p>
    <w:p>
      <w:pPr>
        <w:pStyle w:val="27"/>
        <w:spacing w:line="360" w:lineRule="auto"/>
        <w:jc w:val="center"/>
        <w:rPr>
          <w:rFonts w:hint="eastAsia" w:ascii="Times New Roman" w:hAnsi="Times New Roman" w:cs="Times New Roman" w:eastAsiaTheme="minorEastAsia"/>
          <w:sz w:val="28"/>
          <w:szCs w:val="28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highlight w:val="none"/>
          <w:lang w:eastAsia="zh-CN"/>
        </w:rPr>
        <w:drawing>
          <wp:inline distT="0" distB="0" distL="114300" distR="114300">
            <wp:extent cx="2457450" cy="1790700"/>
            <wp:effectExtent l="9525" t="9525" r="9525" b="9525"/>
            <wp:docPr id="1" name="图片 1" descr="安高高新企业证书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高高新企业证书20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 w:eastAsiaTheme="minorEastAsia"/>
          <w:sz w:val="28"/>
          <w:szCs w:val="28"/>
          <w:highlight w:val="none"/>
          <w:lang w:eastAsia="zh-CN"/>
        </w:rPr>
        <w:drawing>
          <wp:inline distT="0" distB="0" distL="114300" distR="114300">
            <wp:extent cx="2680335" cy="1786890"/>
            <wp:effectExtent l="9525" t="9525" r="15240" b="13335"/>
            <wp:docPr id="9" name="图片 9" descr="安高模具专精特新中小企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安高模具专精特新中小企业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78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both"/>
        <w:rPr>
          <w:lang w:eastAsia="zh-CN"/>
        </w:rPr>
      </w:pPr>
    </w:p>
    <w:p>
      <w:pPr>
        <w:pStyle w:val="11"/>
        <w:jc w:val="center"/>
        <w:rPr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ageBreakBefore/>
        <w:adjustRightInd w:val="0"/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bookmarkStart w:id="5" w:name="_Toc15998"/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第二章  建立高效管理机制</w:t>
      </w:r>
      <w:bookmarkEnd w:id="5"/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经过多年的发展，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已建立起了科学高效的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管理</w:t>
      </w:r>
      <w:r>
        <w:rPr>
          <w:rFonts w:ascii="Times New Roman" w:hAnsi="Times New Roman" w:cs="Times New Roman"/>
          <w:sz w:val="24"/>
          <w:szCs w:val="24"/>
          <w:lang w:eastAsia="zh-CN"/>
        </w:rPr>
        <w:t>机制，并制定了长远的发展目标。公司以全面履行社会责任为指引，完善决策机制，坚持合法合规经营，着力开展各种管理体系建设，提升公司治理水平，关注各相关方的需求和利益。同时，努力打造有助于公司践行社会责任的企业文化，为客户和社会创造价值。</w:t>
      </w:r>
    </w:p>
    <w:p>
      <w:pPr>
        <w:adjustRightInd w:val="0"/>
        <w:spacing w:line="360" w:lineRule="auto"/>
        <w:outlineLvl w:val="1"/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</w:pPr>
      <w:bookmarkStart w:id="6" w:name="_Toc25530"/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高效管理机制</w:t>
      </w:r>
      <w:bookmarkEnd w:id="6"/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napToGrid w:val="0"/>
        <w:spacing w:line="360" w:lineRule="auto"/>
        <w:ind w:firstLine="480" w:firstLineChars="200"/>
        <w:textAlignment w:val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安高模具建立了完善的管理机制，在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公司高层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的领导下，公司管理工作取得了良好成效。作为企业，公司把积极履行企业社会责任与公司战略发展有机融合，相辅相成，促进了公司的可持续发展。</w:t>
      </w:r>
    </w:p>
    <w:p>
      <w:pPr>
        <w:pStyle w:val="11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经过多年的探索，安高模具根据业务特点，建立了扁平化的管理模式，高效的运行机制，使公司在面对业务发展、社会责任、环境责任等议题时能迅速决策，果断应对。为有效管理各种责任议题，公司定期召开月度、季度、半年度、年度会议，总结阶段性运行情况，针对出现的问题即时推出整改措施，特别是有关环境和劳动关系方面的问题，公司高层相当重视，均作为重要议题列入公司会议。为进一步提升公司的治理水平，加快发展，安高模具畅通了内部沟通机制，发扬员工主人翁精神，让大家共同为公司的发展献计献策。同时敞开胸怀、广纳良言，接受社会各界的建议、监督，共同为行业的发展作出更大贡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outlineLvl w:val="1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bookmarkStart w:id="7" w:name="_Toc22719"/>
      <w:r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val="en-US" w:eastAsia="zh-CN"/>
        </w:rPr>
        <w:t>二、</w:t>
      </w:r>
      <w:r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eastAsia="zh-CN"/>
        </w:rPr>
        <w:t>与利益相关方携手</w:t>
      </w:r>
      <w:bookmarkEnd w:id="7"/>
    </w:p>
    <w:p>
      <w:pPr>
        <w:pStyle w:val="11"/>
        <w:spacing w:line="360" w:lineRule="auto"/>
        <w:ind w:firstLine="480" w:firstLineChars="200"/>
        <w:rPr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根据重要性和相关性程度，识别出利益相关方，并与各方建立畅通的沟通渠道，就相关责任议题进行深入交流。涉及利益相关方的治理问题，公司会通过座谈或邮件等方式，征询采纳相关方意见，促进价值链的共同进步成长。</w:t>
      </w:r>
    </w:p>
    <w:p>
      <w:pPr>
        <w:jc w:val="center"/>
        <w:rPr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公司对利益相关方期望回应措施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1717"/>
        <w:gridCol w:w="2783"/>
        <w:gridCol w:w="2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3" w:type="dxa"/>
            <w:shd w:val="clear" w:color="auto" w:fill="A4A4A4" w:themeFill="background1" w:themeFillShade="A5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利益相关方</w:t>
            </w:r>
          </w:p>
        </w:tc>
        <w:tc>
          <w:tcPr>
            <w:tcW w:w="1717" w:type="dxa"/>
            <w:shd w:val="clear" w:color="auto" w:fill="A4A4A4" w:themeFill="background1" w:themeFillShade="A5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主要沟通渠道</w:t>
            </w:r>
          </w:p>
        </w:tc>
        <w:tc>
          <w:tcPr>
            <w:tcW w:w="2783" w:type="dxa"/>
            <w:shd w:val="clear" w:color="auto" w:fill="A4A4A4" w:themeFill="background1" w:themeFillShade="A5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要求和期望</w:t>
            </w:r>
          </w:p>
        </w:tc>
        <w:tc>
          <w:tcPr>
            <w:tcW w:w="2639" w:type="dxa"/>
            <w:shd w:val="clear" w:color="auto" w:fill="A4A4A4" w:themeFill="background1" w:themeFillShade="A5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我们的回应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7" w:hRule="atLeast"/>
        </w:trPr>
        <w:tc>
          <w:tcPr>
            <w:tcW w:w="13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政府及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主管部门</w:t>
            </w:r>
          </w:p>
        </w:tc>
        <w:tc>
          <w:tcPr>
            <w:tcW w:w="1717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领导调研、定期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工作汇报、主管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部门相关会议、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行业会议、报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表。</w:t>
            </w:r>
          </w:p>
        </w:tc>
        <w:tc>
          <w:tcPr>
            <w:tcW w:w="27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社会责任，可持续发展；依法纳税合规运营；了解相关法律法规政策信息；了解行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业发展情况，推动行业技术进步；了解企业发展情况。</w:t>
            </w:r>
          </w:p>
        </w:tc>
        <w:tc>
          <w:tcPr>
            <w:tcW w:w="2639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积极履行社会责任；依法纳税，确保各方面合规；积极参与，申报符合条件各项项目；自主研发，推动行业技术进步；积极参与行业组织的各项活动。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客户</w:t>
            </w:r>
          </w:p>
        </w:tc>
        <w:tc>
          <w:tcPr>
            <w:tcW w:w="1717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顾客满意度调查、日常拜访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展会、公司网站。</w:t>
            </w:r>
          </w:p>
        </w:tc>
        <w:tc>
          <w:tcPr>
            <w:tcW w:w="27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了解客户需求，做针对性的提高；增进感情，了解客户需求，解决问题；展示公司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实力，提升公司形象；宣传公司，开发客户，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扩大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知名度。</w:t>
            </w:r>
          </w:p>
        </w:tc>
        <w:tc>
          <w:tcPr>
            <w:tcW w:w="2639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分析满意度调查结果，针对不同方面反馈到相关部门进行整改，努力满足客户需求；持续改进，更好的满足客户；全面客观的向客户介绍公司的情况和最新动态；及时更新网站内容，公布企业电话，欢迎客户问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员工</w:t>
            </w:r>
          </w:p>
        </w:tc>
        <w:tc>
          <w:tcPr>
            <w:tcW w:w="1717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员工座谈会、监察举报电话、企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业微信。</w:t>
            </w:r>
          </w:p>
        </w:tc>
        <w:tc>
          <w:tcPr>
            <w:tcW w:w="27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基本权益；员工权益维护；能力提升和职业发展；员工期望。</w:t>
            </w:r>
          </w:p>
        </w:tc>
        <w:tc>
          <w:tcPr>
            <w:tcW w:w="2639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签订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劳动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合同；及时调查保护员工权益；开通企业公众号；尽力帮助员工解决困难。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供应商</w:t>
            </w:r>
          </w:p>
        </w:tc>
        <w:tc>
          <w:tcPr>
            <w:tcW w:w="1717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与供应商双向沟通、组织座谈会。</w:t>
            </w:r>
          </w:p>
        </w:tc>
        <w:tc>
          <w:tcPr>
            <w:tcW w:w="27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诚信及公平，信息共享；消除双方壁垒；互惠互利发展关系。</w:t>
            </w:r>
          </w:p>
        </w:tc>
        <w:tc>
          <w:tcPr>
            <w:tcW w:w="2639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公开透明的采购渠道；和谐发展。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社区和</w:t>
            </w:r>
          </w:p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公益组织</w:t>
            </w:r>
          </w:p>
        </w:tc>
        <w:tc>
          <w:tcPr>
            <w:tcW w:w="1717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访谈、社区活动</w:t>
            </w:r>
          </w:p>
        </w:tc>
        <w:tc>
          <w:tcPr>
            <w:tcW w:w="2783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环保达标排放；共同参与社区活动。</w:t>
            </w:r>
          </w:p>
        </w:tc>
        <w:tc>
          <w:tcPr>
            <w:tcW w:w="2639" w:type="dxa"/>
            <w:vAlign w:val="center"/>
          </w:tcPr>
          <w:p>
            <w:pPr>
              <w:tabs>
                <w:tab w:val="left" w:pos="2791"/>
              </w:tabs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组织群众监督，定期访谈；开展慈善捐赠活动。</w:t>
            </w:r>
          </w:p>
        </w:tc>
      </w:tr>
    </w:tbl>
    <w:p>
      <w:pPr>
        <w:tabs>
          <w:tab w:val="left" w:pos="2791"/>
        </w:tabs>
        <w:rPr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1"/>
        <w:pBdr>
          <w:top w:val="none" w:color="auto" w:sz="0" w:space="0"/>
        </w:pBdr>
        <w:jc w:val="center"/>
        <w:outlineLvl w:val="0"/>
        <w:rPr>
          <w:rFonts w:hint="eastAsia" w:ascii="Times New Roman" w:hAnsi="Times New Roman" w:cs="Times New Roman"/>
          <w:sz w:val="24"/>
          <w:szCs w:val="24"/>
          <w:lang w:eastAsia="zh-CN"/>
        </w:rPr>
      </w:pPr>
      <w:bookmarkStart w:id="8" w:name="_Toc11185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第三章 缔造员工成长的幸福家园</w:t>
      </w:r>
      <w:bookmarkEnd w:id="8"/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坚持以人为本，严格遵守国家的相关法规，尊重员工的各项基本权益，积极采取措施保障员工的健康与安全，为员工提供富有竞争力的薪酬及福利待遇，并为员工规划完善的职业发展通道，竭尽所能，将公司打造成一个助力员工成就事业和幸福生活的家园。</w:t>
      </w:r>
    </w:p>
    <w:p>
      <w:pPr>
        <w:adjustRightInd w:val="0"/>
        <w:spacing w:line="360" w:lineRule="auto"/>
        <w:ind w:firstLine="480" w:firstLineChars="200"/>
        <w:rPr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作为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品牌的代言人，每位员工都在岗位认真工作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ascii="Times New Roman" w:hAnsi="Times New Roman" w:cs="Times New Roman"/>
          <w:sz w:val="24"/>
          <w:szCs w:val="24"/>
          <w:lang w:eastAsia="zh-CN"/>
        </w:rPr>
        <w:t>为实现个人目标和组织目标贡献力量。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通过</w:t>
      </w:r>
      <w:r>
        <w:rPr>
          <w:rFonts w:ascii="Times New Roman" w:hAnsi="Times New Roman" w:cs="Times New Roman"/>
          <w:sz w:val="24"/>
          <w:szCs w:val="24"/>
          <w:lang w:eastAsia="zh-CN"/>
        </w:rPr>
        <w:t>系统化的学习培训提升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了</w:t>
      </w:r>
      <w:r>
        <w:rPr>
          <w:rFonts w:ascii="Times New Roman" w:hAnsi="Times New Roman" w:cs="Times New Roman"/>
          <w:sz w:val="24"/>
          <w:szCs w:val="24"/>
          <w:lang w:eastAsia="zh-CN"/>
        </w:rPr>
        <w:t>技能，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参加</w:t>
      </w:r>
      <w:r>
        <w:rPr>
          <w:rFonts w:ascii="Times New Roman" w:hAnsi="Times New Roman" w:cs="Times New Roman"/>
          <w:sz w:val="24"/>
          <w:szCs w:val="24"/>
          <w:lang w:eastAsia="zh-CN"/>
        </w:rPr>
        <w:t>丰富的文化活动点亮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了</w:t>
      </w:r>
      <w:r>
        <w:rPr>
          <w:rFonts w:ascii="Times New Roman" w:hAnsi="Times New Roman" w:cs="Times New Roman"/>
          <w:sz w:val="24"/>
          <w:szCs w:val="24"/>
          <w:lang w:eastAsia="zh-CN"/>
        </w:rPr>
        <w:t>员工生活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。</w:t>
      </w:r>
    </w:p>
    <w:p>
      <w:pPr>
        <w:adjustRightInd w:val="0"/>
        <w:spacing w:line="360" w:lineRule="auto"/>
        <w:outlineLvl w:val="1"/>
        <w:rPr>
          <w:lang w:eastAsia="zh-CN"/>
        </w:rPr>
      </w:pPr>
      <w:bookmarkStart w:id="9" w:name="_Toc15431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一、保障员工合法权益</w:t>
      </w:r>
      <w:bookmarkEnd w:id="9"/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公司严格遵守《劳动法》等国家法律法规，切实保护员工的各项权益，并制定了禁止使用童工、禁止强迫劳动、禁止歧视等一系列保护员工利益的管理制度、程序。同时，公司工会积极发挥自身职能，维护员工利益；公司员工代表大会也积极为员工发声，为员工争取更多权益。多年来，公司未发生员工利益受到侵犯的事件，员工得到的实惠越来越多。</w:t>
      </w:r>
    </w:p>
    <w:p>
      <w:pPr>
        <w:adjustRightInd w:val="0"/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通过合同保障员工利益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公司工会代表全体员工，与公司签订了集体劳动合同，集体劳动合同覆盖了 100%的员工。所有员工个人还与公司签订了劳动合同，劳动合同签订率达100%。合同的签订，有效保障了员工的合法权益。</w:t>
      </w:r>
    </w:p>
    <w:p>
      <w:pPr>
        <w:adjustRightInd w:val="0"/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提供员工满意的薪酬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公司实行男女同工同酬的工资制度，并建立了稳定的薪酬增长机制，以让员工分享公司的发展成果。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的薪酬待遇在当地属中上水平，远高于当地最低月工资标准。</w:t>
      </w:r>
    </w:p>
    <w:p>
      <w:pPr>
        <w:adjustRightInd w:val="0"/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提供丰厚的福利待遇</w:t>
      </w:r>
    </w:p>
    <w:p>
      <w:pPr>
        <w:adjustRightIn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公司严格遵守国家的相关法规，为所有具备参保资格的员工购买社保（五险），员工社会保险覆盖率100%。公司保障员工的正当休息权利，所有员工均可享受国家法定假期。</w:t>
      </w:r>
    </w:p>
    <w:p>
      <w:pPr>
        <w:adjustRightInd w:val="0"/>
        <w:spacing w:line="360" w:lineRule="auto"/>
        <w:outlineLvl w:val="1"/>
        <w:rPr>
          <w:lang w:eastAsia="zh-CN"/>
        </w:rPr>
      </w:pPr>
      <w:bookmarkStart w:id="10" w:name="_Toc20463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二、成就员工事业梦想</w:t>
      </w:r>
      <w:bookmarkEnd w:id="10"/>
    </w:p>
    <w:p>
      <w:pPr>
        <w:pStyle w:val="11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是员工成长的学校、展示的平台，公司积极创造良好的条件，为员工提升工作能力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>成就职业理想提供各种机会。</w:t>
      </w:r>
    </w:p>
    <w:p>
      <w:pPr>
        <w:pStyle w:val="11"/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能力提升</w:t>
      </w:r>
    </w:p>
    <w:p>
      <w:pPr>
        <w:pStyle w:val="11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公司制定了员工培训计划，每年有针对性地对各种岗位的员工进行培训。内容包括岗位技能、公司管理制度、安全操作规程等。20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23</w:t>
      </w:r>
      <w:r>
        <w:rPr>
          <w:rFonts w:ascii="Times New Roman" w:hAnsi="Times New Roman" w:cs="Times New Roman"/>
          <w:sz w:val="24"/>
          <w:szCs w:val="24"/>
          <w:lang w:eastAsia="zh-CN"/>
        </w:rPr>
        <w:t>年，员工安全、技能等培训时数均超过年度计划。</w:t>
      </w:r>
    </w:p>
    <w:p>
      <w:pPr>
        <w:pStyle w:val="11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3557905" cy="4782185"/>
            <wp:effectExtent l="0" t="0" r="18415" b="4445"/>
            <wp:docPr id="10" name="图片 10" descr="CNC培训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NC培训_01"/>
                    <pic:cNvPicPr>
                      <a:picLocks noChangeAspect="1"/>
                    </pic:cNvPicPr>
                  </pic:nvPicPr>
                  <pic:blipFill>
                    <a:blip r:embed="rId15"/>
                    <a:srcRect b="50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90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文体活动</w:t>
      </w:r>
    </w:p>
    <w:p>
      <w:pPr>
        <w:pStyle w:val="11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公司经常性地举办各类文化、体育活动，丰富了员工的业余生活。而通过将文化理念、行为规范、品牌形象植入文化活动载体中，也极大地增强了员工的认同感和归属感，让员工深切感受到关怀和认可。</w:t>
      </w:r>
    </w:p>
    <w:p>
      <w:pPr>
        <w:pStyle w:val="11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</w:p>
    <w:p>
      <w:pPr>
        <w:pStyle w:val="11"/>
        <w:spacing w:line="360" w:lineRule="auto"/>
        <w:ind w:firstLine="360" w:firstLineChars="200"/>
        <w:rPr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1"/>
        <w:jc w:val="center"/>
        <w:outlineLvl w:val="0"/>
        <w:rPr>
          <w:lang w:eastAsia="zh-CN"/>
        </w:rPr>
      </w:pPr>
      <w:bookmarkStart w:id="11" w:name="_Toc24489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第</w:t>
      </w: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章 绿色发展之路</w:t>
      </w:r>
      <w:bookmarkEnd w:id="11"/>
    </w:p>
    <w:p>
      <w:pPr>
        <w:tabs>
          <w:tab w:val="left" w:pos="1832"/>
        </w:tabs>
        <w:spacing w:line="360" w:lineRule="auto"/>
        <w:ind w:firstLine="480" w:firstLineChars="200"/>
        <w:rPr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作为企业公民，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坚持可持续发展战略，在注重经济绩效的同时，努力追求环境绩效的最大化。我们始终坚持绿色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发展</w:t>
      </w:r>
      <w:r>
        <w:rPr>
          <w:rFonts w:ascii="Times New Roman" w:hAnsi="Times New Roman" w:cs="Times New Roman"/>
          <w:sz w:val="24"/>
          <w:szCs w:val="24"/>
          <w:lang w:eastAsia="zh-CN"/>
        </w:rPr>
        <w:t>的环保理念，积极履行社会责任，践行清洁生产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>绿色环保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>合理利用能源资源，厉行节能减排，促进企业、社会与环境的和谐发展。</w:t>
      </w:r>
    </w:p>
    <w:p>
      <w:pPr>
        <w:adjustRightInd w:val="0"/>
        <w:spacing w:line="360" w:lineRule="auto"/>
        <w:outlineLvl w:val="1"/>
        <w:rPr>
          <w:lang w:eastAsia="zh-CN"/>
        </w:rPr>
      </w:pPr>
      <w:bookmarkStart w:id="12" w:name="_Toc16277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一、环境管理</w:t>
      </w:r>
      <w:bookmarkEnd w:id="12"/>
    </w:p>
    <w:p>
      <w:pPr>
        <w:pStyle w:val="11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非常重视环境管理工作，通过以下手段，极大地提升了公司的环境管理水平：一是通过推行ISO14001环境管理体系，建立了完善的公司节能环保综合管理体系；二是制定各种规范制度，规范员工行为，明确员工环保职责；三是加大环境保护的宣传培训工作，提高员工的环保责任意识。多年来，公司的环境管理工作受到政府部门和社会各界的肯定。</w:t>
      </w:r>
    </w:p>
    <w:p>
      <w:pPr>
        <w:adjustRightInd w:val="0"/>
        <w:spacing w:line="360" w:lineRule="auto"/>
        <w:outlineLvl w:val="1"/>
        <w:rPr>
          <w:lang w:eastAsia="zh-CN"/>
        </w:rPr>
      </w:pPr>
      <w:bookmarkStart w:id="13" w:name="_Toc25843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二、</w:t>
      </w:r>
      <w:r>
        <w:rPr>
          <w:rFonts w:ascii="Times New Roman" w:hAnsi="Times New Roman" w:cs="Times New Roman"/>
          <w:b/>
          <w:sz w:val="28"/>
          <w:szCs w:val="28"/>
          <w:lang w:eastAsia="zh-CN"/>
        </w:rPr>
        <w:t>节能降耗</w:t>
      </w:r>
      <w:bookmarkEnd w:id="13"/>
    </w:p>
    <w:p>
      <w:pPr>
        <w:tabs>
          <w:tab w:val="left" w:pos="812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积极响应国家号召，在日常生产管理和施工过程中加强对水、电、原材料及办公用品的使用管理，节约资源、能源，减少浪费，实现降低工程成本，减少环境污染。公司通过了能源管理体系认证，建立起了完善的能源管理体系，节约能源成为了公司的自觉行动。</w:t>
      </w:r>
    </w:p>
    <w:p>
      <w:pPr>
        <w:spacing w:line="360" w:lineRule="auto"/>
        <w:rPr>
          <w:lang w:eastAsia="zh-CN"/>
        </w:rPr>
      </w:pPr>
    </w:p>
    <w:p>
      <w:pPr>
        <w:pStyle w:val="11"/>
        <w:rPr>
          <w:rFonts w:ascii="Times New Roman" w:hAnsi="Times New Roman" w:cs="Times New Roman"/>
          <w:sz w:val="21"/>
          <w:szCs w:val="21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1"/>
        <w:jc w:val="center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bookmarkStart w:id="14" w:name="_Toc3618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第</w:t>
      </w: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章 诚实守信共促行业发展</w:t>
      </w:r>
      <w:bookmarkEnd w:id="14"/>
    </w:p>
    <w:p>
      <w:pPr>
        <w:tabs>
          <w:tab w:val="left" w:pos="957"/>
        </w:tabs>
        <w:spacing w:line="360" w:lineRule="auto"/>
        <w:ind w:firstLine="480" w:firstLineChars="200"/>
        <w:rPr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安高模具</w:t>
      </w:r>
      <w:r>
        <w:rPr>
          <w:rFonts w:ascii="Times New Roman" w:hAnsi="Times New Roman" w:cs="Times New Roman"/>
          <w:sz w:val="24"/>
          <w:szCs w:val="24"/>
          <w:lang w:eastAsia="zh-CN"/>
        </w:rPr>
        <w:t>信守对合作伙伴的责任和承诺，坚持诚信为本、合法经营、共同发展的理念。公司通过制定商业道德及相关管理程序文件，通过制度的约束，规范公司和员工的商业行为，公平公正地与客户、供应商及其他合作伙伴开展合作，共同促进行业的发展，为打造诚信社会贡献自己的力量。</w:t>
      </w:r>
    </w:p>
    <w:p>
      <w:pPr>
        <w:adjustRightInd w:val="0"/>
        <w:spacing w:line="360" w:lineRule="auto"/>
        <w:outlineLvl w:val="1"/>
        <w:rPr>
          <w:rFonts w:ascii="Times New Roman" w:hAnsi="Times New Roman" w:cs="Times New Roman"/>
          <w:sz w:val="24"/>
          <w:szCs w:val="24"/>
          <w:lang w:eastAsia="zh-CN"/>
        </w:rPr>
      </w:pPr>
      <w:bookmarkStart w:id="15" w:name="_Toc19627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一、强化廉洁治理</w:t>
      </w:r>
      <w:bookmarkEnd w:id="15"/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公司重视廉政建设，要求全体员工严于律己，自觉履行公司的规章制度，以企业的利益为重，清白做人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>干净做事，维护公司的良好形象。</w:t>
      </w:r>
    </w:p>
    <w:p>
      <w:pPr>
        <w:tabs>
          <w:tab w:val="left" w:pos="957"/>
        </w:tabs>
        <w:spacing w:line="360" w:lineRule="auto"/>
        <w:ind w:firstLine="482" w:firstLineChars="200"/>
        <w:rPr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廉洁宣传教育</w:t>
      </w:r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在日常经营中，我们恪守合法经营，诚信为本，遵守商业道德。为此，我们强化了廉洁从业的宣传教育，组织员工特别是中高层员工、敏感岗位员工加强对法律法规的学习，增强廉洁自律意识。</w:t>
      </w:r>
    </w:p>
    <w:p>
      <w:pPr>
        <w:tabs>
          <w:tab w:val="left" w:pos="957"/>
        </w:tabs>
        <w:spacing w:line="360" w:lineRule="auto"/>
        <w:ind w:firstLine="482" w:firstLineChars="200"/>
        <w:rPr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廉洁制度建设</w:t>
      </w:r>
    </w:p>
    <w:p>
      <w:pPr>
        <w:tabs>
          <w:tab w:val="left" w:pos="957"/>
        </w:tabs>
        <w:spacing w:line="360" w:lineRule="auto"/>
        <w:ind w:firstLine="480" w:firstLineChars="200"/>
        <w:rPr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规范员工行为，制度的约束是关键。公司出台了《反商业贿赂管理规定》、《商业道德规范》等一系列制度，严格要求广大员工特别是中高层管理人员按制度办事，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进行</w:t>
      </w:r>
      <w:r>
        <w:rPr>
          <w:rFonts w:ascii="Times New Roman" w:hAnsi="Times New Roman" w:cs="Times New Roman"/>
          <w:sz w:val="24"/>
          <w:szCs w:val="24"/>
          <w:lang w:eastAsia="zh-CN"/>
        </w:rPr>
        <w:t>廉洁宣誓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>拒绝商业贿赂，接受大家的监督。公司立足于从源头上杜绝腐败的发生，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一旦</w:t>
      </w:r>
      <w:r>
        <w:rPr>
          <w:rFonts w:ascii="Times New Roman" w:hAnsi="Times New Roman" w:cs="Times New Roman"/>
          <w:sz w:val="24"/>
          <w:szCs w:val="24"/>
          <w:lang w:eastAsia="zh-CN"/>
        </w:rPr>
        <w:t>发生贪腐行为，则依法依规进行处理，以保证员工队伍的廉洁。</w:t>
      </w:r>
    </w:p>
    <w:p>
      <w:pPr>
        <w:adjustRightInd w:val="0"/>
        <w:spacing w:line="360" w:lineRule="auto"/>
        <w:outlineLvl w:val="1"/>
        <w:rPr>
          <w:lang w:eastAsia="zh-CN"/>
        </w:rPr>
      </w:pPr>
      <w:bookmarkStart w:id="16" w:name="_Toc4352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二、恪守商业伦理</w:t>
      </w:r>
      <w:bookmarkEnd w:id="16"/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公司坚持诚信运营，严格遵守国家法律法规，遵从社会公德、商业道德和行业规则，恪守商业诚信，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严格</w:t>
      </w:r>
      <w:r>
        <w:rPr>
          <w:rFonts w:ascii="Times New Roman" w:hAnsi="Times New Roman" w:cs="Times New Roman"/>
          <w:sz w:val="24"/>
          <w:szCs w:val="24"/>
          <w:lang w:eastAsia="zh-CN"/>
        </w:rPr>
        <w:t>履行合同；及时缴纳税款，不偷税漏税；禁止不正当竞争及商业腐败行为。</w:t>
      </w:r>
    </w:p>
    <w:p>
      <w:pPr>
        <w:tabs>
          <w:tab w:val="left" w:pos="957"/>
        </w:tabs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诚信为本</w:t>
      </w:r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公司坚持诚信为本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>诚实经营，认真对待客户、供应商、员工、竞争对手及其他利益相关方，杜绝任何不诚信行为。公司制定了规范商业道德的行为准则，禁止员工有吃回扣、行贿受贿等腐败行为。</w:t>
      </w:r>
    </w:p>
    <w:p>
      <w:pPr>
        <w:tabs>
          <w:tab w:val="left" w:pos="957"/>
        </w:tabs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公平竞争</w:t>
      </w:r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公司践行公平竞争，不搞掠夺性定价，不诋毁同行，不进行倾销和垄断，反对不正当竞争，自觉维护公平的市场竞争环境，促进市场健康发展。</w:t>
      </w:r>
    </w:p>
    <w:p>
      <w:pPr>
        <w:tabs>
          <w:tab w:val="left" w:pos="957"/>
        </w:tabs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拒绝贿赂</w:t>
      </w:r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在商业交往中，公司严格执行商业道德相关政策，高层管理人员及关键敏感岗位员工，更是以身作则，廉洁自律，自觉抵制商业贿赂。</w:t>
      </w:r>
    </w:p>
    <w:p>
      <w:pPr>
        <w:tabs>
          <w:tab w:val="left" w:pos="957"/>
        </w:tabs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保护产权</w:t>
      </w:r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公司严厉禁止造假行为，尊重包括知识产权在内的一切产权。在商业合作中，通过签订保密协议等手段，保护双方的研发成果。在日常的经营活动中，禁止剽窃他人成果，决不使用非法办公软件。</w:t>
      </w:r>
    </w:p>
    <w:p>
      <w:pPr>
        <w:tabs>
          <w:tab w:val="left" w:pos="957"/>
        </w:tabs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责任营销</w:t>
      </w:r>
    </w:p>
    <w:p>
      <w:pPr>
        <w:tabs>
          <w:tab w:val="left" w:pos="957"/>
        </w:tabs>
        <w:spacing w:line="360" w:lineRule="auto"/>
        <w:ind w:firstLine="480" w:firstLineChars="200"/>
        <w:rPr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坚守商业道德底线，正视自身发展实际，诚实对待各利益相关方。在商业营销中，不夸大产品功能和效果，不做虚假承诺，实事求是，接受社会各界的批评和建议。</w:t>
      </w:r>
    </w:p>
    <w:p>
      <w:pPr>
        <w:adjustRightInd w:val="0"/>
        <w:spacing w:line="360" w:lineRule="auto"/>
        <w:outlineLvl w:val="1"/>
        <w:rPr>
          <w:lang w:eastAsia="zh-CN"/>
        </w:rPr>
      </w:pPr>
      <w:bookmarkStart w:id="17" w:name="_Toc31141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三、携手绿色供应链</w:t>
      </w:r>
      <w:bookmarkEnd w:id="17"/>
    </w:p>
    <w:p>
      <w:pPr>
        <w:tabs>
          <w:tab w:val="left" w:pos="957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广大供应商与我们是利益共同体，是真诚相待的商业伙伴，共同对行业和社会的发展肩负重任。为此，我们主动采取有效措施，努力打造让人信赖的绿色供应链。</w:t>
      </w:r>
    </w:p>
    <w:p>
      <w:pPr>
        <w:tabs>
          <w:tab w:val="left" w:pos="957"/>
        </w:tabs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供应商责任管理</w:t>
      </w:r>
    </w:p>
    <w:p>
      <w:pPr>
        <w:tabs>
          <w:tab w:val="left" w:pos="957"/>
        </w:tabs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sz w:val="24"/>
          <w:szCs w:val="24"/>
          <w:lang w:eastAsia="zh-CN"/>
        </w:rPr>
        <w:t>我们对供应商的选择标准是：能提供优质产品和服务、诚信守法、遵守劳工标准，保护环境，愿意履行社会责任。为促进供应链履行社会责任，在与供应商的合作中，我们通过资质审核等手段，推动整个供应链上下游的合作伙伴履行社会责任，践行可持续采购。我们将供应商履行责任内容写入采购合同，进行定期现场审核。对于新供应商，只有通过严格的审核，才能成为公司的合格供应商。而未通过公司定期审核的，将被剔除出供应商名单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。</w:t>
      </w:r>
    </w:p>
    <w:p>
      <w:pPr>
        <w:pStyle w:val="11"/>
        <w:jc w:val="center"/>
        <w:outlineLvl w:val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bookmarkStart w:id="18" w:name="_Toc15992"/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第</w:t>
      </w: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六</w:t>
      </w:r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 xml:space="preserve">章 </w:t>
      </w: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未来展望</w:t>
      </w:r>
      <w:bookmarkEnd w:id="18"/>
    </w:p>
    <w:p>
      <w:pPr>
        <w:spacing w:line="52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  <w:lang w:eastAsia="zh-CN"/>
        </w:rPr>
        <w:t>安高模具</w:t>
      </w:r>
      <w:r>
        <w:rPr>
          <w:sz w:val="24"/>
        </w:rPr>
        <w:t>在20</w:t>
      </w:r>
      <w:r>
        <w:rPr>
          <w:rFonts w:hint="eastAsia"/>
          <w:sz w:val="24"/>
          <w:lang w:val="en-US" w:eastAsia="zh-CN"/>
        </w:rPr>
        <w:t>25</w:t>
      </w:r>
      <w:r>
        <w:rPr>
          <w:sz w:val="24"/>
        </w:rPr>
        <w:t>年将继续以合法合规为前提，以安全</w:t>
      </w:r>
      <w:r>
        <w:rPr>
          <w:rFonts w:hint="eastAsia"/>
          <w:sz w:val="24"/>
          <w:lang w:eastAsia="zh-CN"/>
        </w:rPr>
        <w:t>、</w:t>
      </w:r>
      <w:r>
        <w:rPr>
          <w:sz w:val="24"/>
        </w:rPr>
        <w:t>环保为企业生存红线，以规范化管理为管理工作的重点，继续优化人力资源结构降低用工风险，继续推进技术升级改造项目，加快公司由传统制造业逐步向现化代自动化的转变。将公司打造成为利用废弃资源综合回收利用生产锌盐的龙头企业，实现环境保护与企业经营的持续性发展。</w:t>
      </w:r>
    </w:p>
    <w:p>
      <w:pPr>
        <w:spacing w:line="52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2025</w:t>
      </w:r>
      <w:r>
        <w:rPr>
          <w:sz w:val="24"/>
        </w:rPr>
        <w:t>年，我们将以更加饱满的工作态度和务真求实的一腔热忱，继续接受社会各界的监督，在完成经营发展、企业规模扩大的同时，不断完善公司社会责任管理体系建设，继续加强内部控制的完善和自我评价工作，健全相关管理措施，促进公司持续、健康发展。不断探索有效履行社会责任的着力点，加强与合作伙伴等利益相关方的沟通与交流，从而促进公司更好地履行社会责任和支持社会公益事业，实现自身与全社会的和谐发展。</w:t>
      </w:r>
    </w:p>
    <w:p>
      <w:pPr>
        <w:pStyle w:val="11"/>
        <w:pBdr>
          <w:top w:val="none" w:color="auto" w:sz="0" w:space="0"/>
        </w:pBdr>
        <w:outlineLvl w:val="0"/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w:rPr>
        <w:lang w:eastAsia="zh-CN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3687445</wp:posOffset>
              </wp:positionH>
              <wp:positionV relativeFrom="page">
                <wp:posOffset>9925685</wp:posOffset>
              </wp:positionV>
              <wp:extent cx="97155" cy="16573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0.35pt;margin-top:781.55pt;height:13.05pt;width:7.65pt;mso-position-horizontal-relative:page;mso-position-vertical-relative:page;z-index:-251657216;mso-width-relative:page;mso-height-relative:page;" filled="f" stroked="f" coordsize="21600,21600" o:gfxdata="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uIBFm2gAAAA0BAAAPAAAAAAAAAAEAIAAAACIAAABkcnMvZG93bnJldi54bWxQSwEC&#10;FAAUAAAACACHTuJAcfMiXLkBAABw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zZTBhNTJlMmNlM2M0YTYwZDAxZDM0NGY1OGZiNDUifQ=="/>
  </w:docVars>
  <w:rsids>
    <w:rsidRoot w:val="497C67B1"/>
    <w:rsid w:val="00024F60"/>
    <w:rsid w:val="00031E0C"/>
    <w:rsid w:val="00036AF7"/>
    <w:rsid w:val="00067A36"/>
    <w:rsid w:val="000727CB"/>
    <w:rsid w:val="000A7DE4"/>
    <w:rsid w:val="00160FE0"/>
    <w:rsid w:val="00177AAE"/>
    <w:rsid w:val="00192EC6"/>
    <w:rsid w:val="001A6E1B"/>
    <w:rsid w:val="001B66FE"/>
    <w:rsid w:val="001F52D4"/>
    <w:rsid w:val="00210F4C"/>
    <w:rsid w:val="00234A6F"/>
    <w:rsid w:val="002E2A64"/>
    <w:rsid w:val="002E4288"/>
    <w:rsid w:val="003315FE"/>
    <w:rsid w:val="00355808"/>
    <w:rsid w:val="003B39F8"/>
    <w:rsid w:val="003C100B"/>
    <w:rsid w:val="003D0B87"/>
    <w:rsid w:val="00402428"/>
    <w:rsid w:val="00405466"/>
    <w:rsid w:val="004057CB"/>
    <w:rsid w:val="0041419B"/>
    <w:rsid w:val="00461D09"/>
    <w:rsid w:val="004B5ACD"/>
    <w:rsid w:val="004C79FF"/>
    <w:rsid w:val="005734F6"/>
    <w:rsid w:val="005803DA"/>
    <w:rsid w:val="00594943"/>
    <w:rsid w:val="005B4DC7"/>
    <w:rsid w:val="005C38B8"/>
    <w:rsid w:val="005F5826"/>
    <w:rsid w:val="00630B15"/>
    <w:rsid w:val="00641E4A"/>
    <w:rsid w:val="00676E43"/>
    <w:rsid w:val="006B0098"/>
    <w:rsid w:val="006C476F"/>
    <w:rsid w:val="006E1D39"/>
    <w:rsid w:val="006E7780"/>
    <w:rsid w:val="006F1791"/>
    <w:rsid w:val="006F66E5"/>
    <w:rsid w:val="007148A2"/>
    <w:rsid w:val="00720B57"/>
    <w:rsid w:val="007660A5"/>
    <w:rsid w:val="007A71AA"/>
    <w:rsid w:val="007B6DEF"/>
    <w:rsid w:val="00846D89"/>
    <w:rsid w:val="0085184F"/>
    <w:rsid w:val="00861763"/>
    <w:rsid w:val="008E1CB4"/>
    <w:rsid w:val="008F71FB"/>
    <w:rsid w:val="00910854"/>
    <w:rsid w:val="00936E91"/>
    <w:rsid w:val="009A0E1A"/>
    <w:rsid w:val="009C0AD9"/>
    <w:rsid w:val="009C458A"/>
    <w:rsid w:val="00A07836"/>
    <w:rsid w:val="00A338B3"/>
    <w:rsid w:val="00A35DD0"/>
    <w:rsid w:val="00A61F8A"/>
    <w:rsid w:val="00A9161F"/>
    <w:rsid w:val="00A91671"/>
    <w:rsid w:val="00AA1ABC"/>
    <w:rsid w:val="00AB3F08"/>
    <w:rsid w:val="00AC569E"/>
    <w:rsid w:val="00B3194E"/>
    <w:rsid w:val="00B32613"/>
    <w:rsid w:val="00B4231F"/>
    <w:rsid w:val="00B623B3"/>
    <w:rsid w:val="00BA04CB"/>
    <w:rsid w:val="00BC2CBD"/>
    <w:rsid w:val="00C02826"/>
    <w:rsid w:val="00C07D58"/>
    <w:rsid w:val="00C37B75"/>
    <w:rsid w:val="00C54805"/>
    <w:rsid w:val="00C74C9E"/>
    <w:rsid w:val="00C8400E"/>
    <w:rsid w:val="00C92534"/>
    <w:rsid w:val="00D71996"/>
    <w:rsid w:val="00D72220"/>
    <w:rsid w:val="00D945DC"/>
    <w:rsid w:val="00D9526F"/>
    <w:rsid w:val="00DC5483"/>
    <w:rsid w:val="00E42E69"/>
    <w:rsid w:val="00E74E56"/>
    <w:rsid w:val="00E86CA8"/>
    <w:rsid w:val="00EA1344"/>
    <w:rsid w:val="00EA20D3"/>
    <w:rsid w:val="00EA2D16"/>
    <w:rsid w:val="00EB1044"/>
    <w:rsid w:val="00EB4ACF"/>
    <w:rsid w:val="00EC26B1"/>
    <w:rsid w:val="00EC287F"/>
    <w:rsid w:val="00ED0F7B"/>
    <w:rsid w:val="00EF248C"/>
    <w:rsid w:val="00EF3175"/>
    <w:rsid w:val="00F10BD8"/>
    <w:rsid w:val="00F46199"/>
    <w:rsid w:val="00F5403F"/>
    <w:rsid w:val="00F72F16"/>
    <w:rsid w:val="00F74F08"/>
    <w:rsid w:val="00FA7D6F"/>
    <w:rsid w:val="00FE32F1"/>
    <w:rsid w:val="00FE3A57"/>
    <w:rsid w:val="00FF750C"/>
    <w:rsid w:val="021D0F7C"/>
    <w:rsid w:val="05096563"/>
    <w:rsid w:val="0B172C6C"/>
    <w:rsid w:val="0D59059B"/>
    <w:rsid w:val="0D8424DE"/>
    <w:rsid w:val="0F3F7954"/>
    <w:rsid w:val="0FAE7348"/>
    <w:rsid w:val="13CD6FAE"/>
    <w:rsid w:val="156C669F"/>
    <w:rsid w:val="1AB34462"/>
    <w:rsid w:val="1B452307"/>
    <w:rsid w:val="22A9471C"/>
    <w:rsid w:val="237262D3"/>
    <w:rsid w:val="23772ED2"/>
    <w:rsid w:val="281A760B"/>
    <w:rsid w:val="2BEB7678"/>
    <w:rsid w:val="301047A5"/>
    <w:rsid w:val="315124B9"/>
    <w:rsid w:val="31522699"/>
    <w:rsid w:val="316444B9"/>
    <w:rsid w:val="323C0CD8"/>
    <w:rsid w:val="34067239"/>
    <w:rsid w:val="35513672"/>
    <w:rsid w:val="35751704"/>
    <w:rsid w:val="35EC0EEF"/>
    <w:rsid w:val="3C21210C"/>
    <w:rsid w:val="3CB95AD5"/>
    <w:rsid w:val="3E4D2A7A"/>
    <w:rsid w:val="3E856677"/>
    <w:rsid w:val="3EFC7E62"/>
    <w:rsid w:val="4234561F"/>
    <w:rsid w:val="466E0834"/>
    <w:rsid w:val="497C67B1"/>
    <w:rsid w:val="4D271761"/>
    <w:rsid w:val="4F5B2ECF"/>
    <w:rsid w:val="543534D1"/>
    <w:rsid w:val="55274DFE"/>
    <w:rsid w:val="567341FA"/>
    <w:rsid w:val="57B56943"/>
    <w:rsid w:val="5B5D42D3"/>
    <w:rsid w:val="5DCF573A"/>
    <w:rsid w:val="5E3B6E24"/>
    <w:rsid w:val="60375D09"/>
    <w:rsid w:val="609C45F9"/>
    <w:rsid w:val="6115413A"/>
    <w:rsid w:val="61F90BE5"/>
    <w:rsid w:val="6321503D"/>
    <w:rsid w:val="641B4318"/>
    <w:rsid w:val="644940A8"/>
    <w:rsid w:val="67A52441"/>
    <w:rsid w:val="69433CA2"/>
    <w:rsid w:val="69B75C18"/>
    <w:rsid w:val="6B922C76"/>
    <w:rsid w:val="701D3523"/>
    <w:rsid w:val="709158A7"/>
    <w:rsid w:val="71826F1D"/>
    <w:rsid w:val="77B2278E"/>
    <w:rsid w:val="78314AF0"/>
    <w:rsid w:val="79C672D3"/>
    <w:rsid w:val="7AD72B78"/>
    <w:rsid w:val="7AD748DA"/>
    <w:rsid w:val="7BF654D9"/>
    <w:rsid w:val="7CE2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5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outlineLvl w:val="1"/>
    </w:pPr>
    <w:rPr>
      <w:rFonts w:hint="eastAsia" w:cs="Times New Roman"/>
      <w:b/>
      <w:sz w:val="36"/>
      <w:szCs w:val="36"/>
      <w:lang w:eastAsia="zh-CN" w:bidi="ar-SA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cs="Times New Roman"/>
      <w:b/>
      <w:sz w:val="27"/>
      <w:szCs w:val="27"/>
      <w:lang w:eastAsia="zh-CN" w:bidi="ar-SA"/>
    </w:rPr>
  </w:style>
  <w:style w:type="paragraph" w:styleId="5">
    <w:name w:val="heading 4"/>
    <w:basedOn w:val="1"/>
    <w:next w:val="1"/>
    <w:link w:val="26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</w:style>
  <w:style w:type="paragraph" w:styleId="7">
    <w:name w:val="Body Text"/>
    <w:basedOn w:val="1"/>
    <w:qFormat/>
    <w:uiPriority w:val="1"/>
    <w:rPr>
      <w:sz w:val="24"/>
      <w:szCs w:val="24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/>
    </w:pPr>
    <w:rPr>
      <w:rFonts w:asciiTheme="minorHAnsi" w:hAnsiTheme="minorHAnsi" w:eastAsiaTheme="minorEastAsia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</w:pPr>
    <w:rPr>
      <w:rFonts w:asciiTheme="minorHAnsi" w:hAnsiTheme="minorHAnsi" w:eastAsiaTheme="minorEastAsia"/>
    </w:rPr>
  </w:style>
  <w:style w:type="paragraph" w:styleId="14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 w:bidi="ar-SA"/>
    </w:rPr>
  </w:style>
  <w:style w:type="paragraph" w:styleId="1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0"/>
  </w:style>
  <w:style w:type="character" w:styleId="20">
    <w:name w:val="Hyperlink"/>
    <w:basedOn w:val="18"/>
    <w:qFormat/>
    <w:uiPriority w:val="99"/>
    <w:rPr>
      <w:color w:val="0000FF"/>
      <w:u w:val="single"/>
    </w:rPr>
  </w:style>
  <w:style w:type="character" w:styleId="21">
    <w:name w:val="annotation reference"/>
    <w:basedOn w:val="18"/>
    <w:qFormat/>
    <w:uiPriority w:val="0"/>
    <w:rPr>
      <w:sz w:val="21"/>
      <w:szCs w:val="21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paragraph" w:customStyle="1" w:styleId="23">
    <w:name w:val="列出段落2"/>
    <w:basedOn w:val="1"/>
    <w:qFormat/>
    <w:uiPriority w:val="0"/>
    <w:pPr>
      <w:ind w:firstLine="420" w:firstLineChars="200"/>
    </w:pPr>
  </w:style>
  <w:style w:type="paragraph" w:customStyle="1" w:styleId="24">
    <w:name w:val="列出段落3"/>
    <w:basedOn w:val="1"/>
    <w:qFormat/>
    <w:uiPriority w:val="0"/>
    <w:pPr>
      <w:ind w:firstLine="420" w:firstLineChars="200"/>
    </w:pPr>
  </w:style>
  <w:style w:type="character" w:customStyle="1" w:styleId="25">
    <w:name w:val="批注框文本 字符"/>
    <w:basedOn w:val="18"/>
    <w:link w:val="9"/>
    <w:qFormat/>
    <w:uiPriority w:val="0"/>
    <w:rPr>
      <w:rFonts w:ascii="宋体" w:hAnsi="宋体" w:cs="宋体"/>
      <w:sz w:val="18"/>
      <w:szCs w:val="18"/>
      <w:lang w:eastAsia="en-US" w:bidi="en-US"/>
    </w:rPr>
  </w:style>
  <w:style w:type="character" w:customStyle="1" w:styleId="26">
    <w:name w:val="标题 4 字符"/>
    <w:basedOn w:val="18"/>
    <w:link w:val="5"/>
    <w:semiHidden/>
    <w:qFormat/>
    <w:uiPriority w:val="0"/>
    <w:rPr>
      <w:rFonts w:asciiTheme="majorHAnsi" w:hAnsiTheme="majorHAnsi" w:eastAsiaTheme="majorEastAsia" w:cstheme="majorBidi"/>
      <w:b/>
      <w:bCs/>
      <w:sz w:val="28"/>
      <w:szCs w:val="28"/>
      <w:lang w:eastAsia="en-US" w:bidi="en-US"/>
    </w:rPr>
  </w:style>
  <w:style w:type="paragraph" w:customStyle="1" w:styleId="27">
    <w:name w:val="Fließtext"/>
    <w:basedOn w:val="1"/>
    <w:qFormat/>
    <w:uiPriority w:val="0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3235</Words>
  <Characters>3363</Characters>
  <Lines>59</Lines>
  <Paragraphs>16</Paragraphs>
  <TotalTime>3</TotalTime>
  <ScaleCrop>false</ScaleCrop>
  <LinksUpToDate>false</LinksUpToDate>
  <CharactersWithSpaces>3399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2020-04-04T05:49:00Z</dcterms:created>
  <dc:creator>王海楠</dc:creator>
  <cp:lastModifiedBy>Administrator</cp:lastModifiedBy>
  <cp:lastPrinted>2020-04-03T06:53:00Z</cp:lastPrinted>
  <dcterms:modified xsi:type="dcterms:W3CDTF">2025-04-29T08:52:09Z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A4E05269D2C24D4CBF246B7B68638C40_13</vt:lpwstr>
  </property>
  <property fmtid="{D5CDD505-2E9C-101B-9397-08002B2CF9AE}" pid="4" name="KSOTemplateDocerSaveRecord">
    <vt:lpwstr>eyJoZGlkIjoiMzYxNDIzZWI3NGU4ZjM5NmI4YzcwMWRlN2E5OTU1YzIiLCJ1c2VySWQiOiIyMjMzNjk4MjgifQ==</vt:lpwstr>
  </property>
</Properties>
</file>