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A3BBE8">
      <w:pPr>
        <w:pStyle w:val="16"/>
        <w:rPr>
          <w:rFonts w:hint="eastAsia" w:ascii="宋体" w:hAnsi="宋体" w:eastAsia="宋体" w:cs="宋体"/>
          <w:color w:val="auto"/>
          <w:sz w:val="44"/>
          <w:szCs w:val="44"/>
        </w:rPr>
      </w:pPr>
    </w:p>
    <w:p w14:paraId="14767549">
      <w:pPr>
        <w:pStyle w:val="16"/>
        <w:rPr>
          <w:rFonts w:hint="eastAsia" w:ascii="宋体" w:hAnsi="宋体" w:eastAsia="宋体" w:cs="宋体"/>
          <w:color w:val="auto"/>
          <w:sz w:val="44"/>
          <w:szCs w:val="44"/>
        </w:rPr>
      </w:pPr>
    </w:p>
    <w:p w14:paraId="6C0F394D">
      <w:pPr>
        <w:pStyle w:val="16"/>
        <w:rPr>
          <w:rFonts w:hint="eastAsia" w:ascii="宋体" w:hAnsi="宋体" w:eastAsia="宋体" w:cs="宋体"/>
          <w:color w:val="auto"/>
          <w:sz w:val="44"/>
          <w:szCs w:val="44"/>
        </w:rPr>
      </w:pPr>
    </w:p>
    <w:p w14:paraId="64FE7032">
      <w:pPr>
        <w:pStyle w:val="16"/>
        <w:rPr>
          <w:rFonts w:hint="eastAsia" w:ascii="宋体" w:hAnsi="宋体" w:eastAsia="宋体" w:cs="宋体"/>
          <w:color w:val="auto"/>
          <w:sz w:val="32"/>
          <w:szCs w:val="32"/>
          <w:lang w:eastAsia="zh-CN"/>
        </w:rPr>
      </w:pPr>
      <w:r>
        <w:rPr>
          <w:rFonts w:hint="eastAsia" w:ascii="宋体" w:hAnsi="宋体" w:eastAsia="宋体" w:cs="宋体"/>
          <w:color w:val="auto"/>
          <w:sz w:val="52"/>
          <w:szCs w:val="52"/>
          <w:lang w:eastAsia="zh-CN"/>
        </w:rPr>
        <w:t>深圳市安高模具有限公司</w:t>
      </w:r>
    </w:p>
    <w:p w14:paraId="3695C055">
      <w:pPr>
        <w:pStyle w:val="16"/>
        <w:jc w:val="both"/>
        <w:rPr>
          <w:rFonts w:hint="eastAsia" w:ascii="宋体" w:hAnsi="宋体" w:eastAsia="宋体" w:cs="宋体"/>
          <w:color w:val="auto"/>
          <w:sz w:val="32"/>
          <w:szCs w:val="32"/>
        </w:rPr>
      </w:pPr>
    </w:p>
    <w:p w14:paraId="114567F9">
      <w:pPr>
        <w:pStyle w:val="16"/>
        <w:rPr>
          <w:rFonts w:hint="eastAsia" w:ascii="宋体" w:hAnsi="宋体" w:eastAsia="宋体" w:cs="宋体"/>
          <w:color w:val="auto"/>
          <w:sz w:val="44"/>
          <w:szCs w:val="32"/>
        </w:rPr>
      </w:pPr>
      <w:r>
        <w:rPr>
          <w:rFonts w:hint="eastAsia" w:ascii="宋体" w:hAnsi="宋体" w:eastAsia="宋体" w:cs="宋体"/>
          <w:color w:val="auto"/>
          <w:sz w:val="44"/>
          <w:szCs w:val="32"/>
          <w:lang w:val="en-US" w:eastAsia="zh-CN"/>
        </w:rPr>
        <w:t>模具产品</w:t>
      </w:r>
      <w:r>
        <w:rPr>
          <w:rFonts w:hint="eastAsia" w:ascii="宋体" w:hAnsi="宋体" w:eastAsia="宋体" w:cs="宋体"/>
          <w:color w:val="auto"/>
          <w:sz w:val="44"/>
          <w:szCs w:val="32"/>
        </w:rPr>
        <w:t>碳足迹</w:t>
      </w:r>
      <w:r>
        <w:rPr>
          <w:rFonts w:hint="eastAsia" w:ascii="宋体" w:hAnsi="宋体" w:eastAsia="宋体" w:cs="宋体"/>
          <w:color w:val="auto"/>
          <w:sz w:val="44"/>
          <w:szCs w:val="32"/>
          <w:lang w:val="en-US" w:eastAsia="zh-CN"/>
        </w:rPr>
        <w:t>核查</w:t>
      </w:r>
      <w:r>
        <w:rPr>
          <w:rFonts w:hint="eastAsia" w:ascii="宋体" w:hAnsi="宋体" w:eastAsia="宋体" w:cs="宋体"/>
          <w:color w:val="auto"/>
          <w:sz w:val="44"/>
          <w:szCs w:val="32"/>
        </w:rPr>
        <w:t>报告</w:t>
      </w:r>
    </w:p>
    <w:p w14:paraId="5B44A9DF">
      <w:pPr>
        <w:pStyle w:val="16"/>
        <w:spacing w:before="120"/>
        <w:ind w:firstLine="1200"/>
        <w:jc w:val="both"/>
        <w:rPr>
          <w:rFonts w:hint="eastAsia" w:ascii="宋体" w:hAnsi="宋体" w:eastAsia="宋体" w:cs="宋体"/>
          <w:color w:val="auto"/>
          <w:sz w:val="30"/>
          <w:szCs w:val="30"/>
        </w:rPr>
      </w:pPr>
    </w:p>
    <w:p w14:paraId="48798193">
      <w:pPr>
        <w:pStyle w:val="16"/>
        <w:spacing w:before="120"/>
        <w:ind w:firstLine="1200"/>
        <w:jc w:val="both"/>
        <w:rPr>
          <w:rFonts w:hint="eastAsia" w:ascii="宋体" w:hAnsi="宋体" w:eastAsia="宋体" w:cs="宋体"/>
          <w:color w:val="auto"/>
          <w:sz w:val="30"/>
          <w:szCs w:val="30"/>
        </w:rPr>
      </w:pPr>
    </w:p>
    <w:p w14:paraId="15F65137">
      <w:pPr>
        <w:pStyle w:val="16"/>
        <w:spacing w:before="120"/>
        <w:ind w:firstLine="1200"/>
        <w:jc w:val="both"/>
        <w:rPr>
          <w:rFonts w:hint="eastAsia" w:ascii="宋体" w:hAnsi="宋体" w:eastAsia="宋体" w:cs="宋体"/>
          <w:color w:val="auto"/>
          <w:sz w:val="30"/>
          <w:szCs w:val="30"/>
        </w:rPr>
      </w:pPr>
    </w:p>
    <w:p w14:paraId="3AA9D936">
      <w:pPr>
        <w:pStyle w:val="16"/>
        <w:spacing w:before="120"/>
        <w:ind w:firstLine="1200"/>
        <w:jc w:val="both"/>
        <w:rPr>
          <w:rFonts w:hint="eastAsia" w:ascii="宋体" w:hAnsi="宋体" w:eastAsia="宋体" w:cs="宋体"/>
          <w:color w:val="auto"/>
          <w:sz w:val="30"/>
          <w:szCs w:val="30"/>
        </w:rPr>
      </w:pPr>
    </w:p>
    <w:p w14:paraId="7FDE5E91">
      <w:pPr>
        <w:pStyle w:val="16"/>
        <w:spacing w:before="120"/>
        <w:ind w:firstLine="1200"/>
        <w:jc w:val="both"/>
        <w:rPr>
          <w:rFonts w:hint="eastAsia" w:ascii="宋体" w:hAnsi="宋体" w:eastAsia="宋体" w:cs="宋体"/>
          <w:color w:val="auto"/>
          <w:sz w:val="30"/>
          <w:szCs w:val="30"/>
        </w:rPr>
      </w:pPr>
    </w:p>
    <w:p w14:paraId="0C7AED6E">
      <w:pPr>
        <w:pStyle w:val="16"/>
        <w:spacing w:before="120"/>
        <w:ind w:firstLine="1200"/>
        <w:jc w:val="both"/>
        <w:rPr>
          <w:rFonts w:hint="eastAsia" w:ascii="宋体" w:hAnsi="宋体" w:eastAsia="宋体" w:cs="宋体"/>
          <w:color w:val="auto"/>
          <w:sz w:val="30"/>
          <w:szCs w:val="30"/>
        </w:rPr>
      </w:pPr>
    </w:p>
    <w:p w14:paraId="3FE60D5B">
      <w:pPr>
        <w:pStyle w:val="16"/>
        <w:spacing w:before="120"/>
        <w:jc w:val="both"/>
        <w:rPr>
          <w:rFonts w:hint="eastAsia" w:ascii="宋体" w:hAnsi="宋体" w:eastAsia="宋体" w:cs="宋体"/>
          <w:color w:val="auto"/>
          <w:sz w:val="30"/>
          <w:szCs w:val="30"/>
        </w:rPr>
      </w:pPr>
    </w:p>
    <w:p w14:paraId="0523062D">
      <w:pPr>
        <w:pStyle w:val="16"/>
        <w:spacing w:before="120"/>
        <w:jc w:val="both"/>
        <w:rPr>
          <w:rFonts w:hint="eastAsia" w:ascii="宋体" w:hAnsi="宋体" w:eastAsia="宋体" w:cs="宋体"/>
          <w:color w:val="auto"/>
          <w:sz w:val="30"/>
          <w:szCs w:val="30"/>
        </w:rPr>
      </w:pPr>
    </w:p>
    <w:tbl>
      <w:tblPr>
        <w:tblStyle w:val="1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493"/>
        <w:gridCol w:w="5029"/>
      </w:tblGrid>
      <w:tr w14:paraId="6D379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4AE6377E">
            <w:pPr>
              <w:pStyle w:val="16"/>
              <w:spacing w:line="360" w:lineRule="auto"/>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报告主体：</w:t>
            </w:r>
          </w:p>
        </w:tc>
        <w:tc>
          <w:tcPr>
            <w:tcW w:w="5029" w:type="dxa"/>
            <w:vAlign w:val="center"/>
          </w:tcPr>
          <w:p w14:paraId="2B0B19A3">
            <w:pPr>
              <w:pStyle w:val="16"/>
              <w:spacing w:before="120"/>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lang w:eastAsia="zh-CN"/>
              </w:rPr>
              <w:t>深圳市安高模具有限公司</w:t>
            </w:r>
          </w:p>
        </w:tc>
      </w:tr>
      <w:tr w14:paraId="7A58B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164B8CD1">
            <w:pPr>
              <w:pStyle w:val="16"/>
              <w:spacing w:line="360" w:lineRule="auto"/>
              <w:ind w:firstLine="640" w:firstLineChars="200"/>
              <w:jc w:val="center"/>
              <w:rPr>
                <w:rFonts w:hint="eastAsia" w:ascii="仿宋" w:hAnsi="仿宋" w:eastAsia="仿宋" w:cs="仿宋"/>
                <w:sz w:val="32"/>
                <w:szCs w:val="32"/>
              </w:rPr>
            </w:pPr>
            <w:r>
              <w:rPr>
                <w:rFonts w:hint="eastAsia" w:ascii="仿宋" w:hAnsi="仿宋" w:eastAsia="仿宋" w:cs="仿宋"/>
                <w:color w:val="auto"/>
                <w:sz w:val="32"/>
                <w:szCs w:val="32"/>
                <w:lang w:val="en-US" w:eastAsia="zh-CN"/>
              </w:rPr>
              <w:t>编制</w:t>
            </w:r>
            <w:r>
              <w:rPr>
                <w:rFonts w:hint="eastAsia" w:ascii="仿宋" w:hAnsi="仿宋" w:eastAsia="仿宋" w:cs="仿宋"/>
                <w:color w:val="auto"/>
                <w:sz w:val="32"/>
                <w:szCs w:val="32"/>
              </w:rPr>
              <w:t>主体：</w:t>
            </w:r>
          </w:p>
        </w:tc>
        <w:tc>
          <w:tcPr>
            <w:tcW w:w="5029" w:type="dxa"/>
            <w:vAlign w:val="center"/>
          </w:tcPr>
          <w:p w14:paraId="798C3806">
            <w:pPr>
              <w:pStyle w:val="16"/>
              <w:spacing w:before="120"/>
              <w:jc w:val="left"/>
              <w:rPr>
                <w:rFonts w:hint="eastAsia" w:ascii="仿宋" w:hAnsi="仿宋" w:eastAsia="仿宋" w:cs="仿宋"/>
                <w:color w:val="auto"/>
                <w:sz w:val="32"/>
                <w:szCs w:val="32"/>
              </w:rPr>
            </w:pPr>
            <w:r>
              <w:rPr>
                <w:rFonts w:hint="eastAsia" w:ascii="仿宋" w:hAnsi="仿宋" w:eastAsia="仿宋" w:cs="仿宋"/>
                <w:color w:val="000000"/>
                <w:kern w:val="0"/>
                <w:sz w:val="32"/>
                <w:szCs w:val="32"/>
                <w:highlight w:val="none"/>
                <w:vertAlign w:val="baseline"/>
                <w:lang w:val="en-US" w:eastAsia="zh-CN"/>
              </w:rPr>
              <w:t>陕西新焦耳低碳节能技术有限公司</w:t>
            </w:r>
          </w:p>
        </w:tc>
      </w:tr>
      <w:tr w14:paraId="025D7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7D51F50A">
            <w:pPr>
              <w:pStyle w:val="4"/>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sz w:val="32"/>
                <w:szCs w:val="32"/>
              </w:rPr>
              <w:t>报告年度：</w:t>
            </w:r>
          </w:p>
        </w:tc>
        <w:tc>
          <w:tcPr>
            <w:tcW w:w="5029" w:type="dxa"/>
            <w:vAlign w:val="center"/>
          </w:tcPr>
          <w:p w14:paraId="2F178B4C">
            <w:pPr>
              <w:pStyle w:val="16"/>
              <w:spacing w:before="120"/>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024</w:t>
            </w:r>
            <w:r>
              <w:rPr>
                <w:rFonts w:hint="eastAsia" w:ascii="仿宋" w:hAnsi="仿宋" w:eastAsia="仿宋" w:cs="仿宋"/>
                <w:color w:val="auto"/>
                <w:sz w:val="32"/>
                <w:szCs w:val="32"/>
              </w:rPr>
              <w:t>年</w:t>
            </w:r>
          </w:p>
        </w:tc>
      </w:tr>
      <w:tr w14:paraId="49DE2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493" w:type="dxa"/>
            <w:vAlign w:val="center"/>
          </w:tcPr>
          <w:p w14:paraId="4C596D18">
            <w:pPr>
              <w:pStyle w:val="4"/>
              <w:ind w:firstLine="640" w:firstLineChars="200"/>
              <w:jc w:val="center"/>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sz w:val="32"/>
                <w:szCs w:val="32"/>
              </w:rPr>
              <w:t>编制日期：</w:t>
            </w:r>
          </w:p>
        </w:tc>
        <w:tc>
          <w:tcPr>
            <w:tcW w:w="5029" w:type="dxa"/>
            <w:vAlign w:val="center"/>
          </w:tcPr>
          <w:p w14:paraId="1F78B2F9">
            <w:pPr>
              <w:pStyle w:val="16"/>
              <w:jc w:val="left"/>
              <w:rPr>
                <w:rFonts w:hint="eastAsia" w:ascii="仿宋" w:hAnsi="仿宋" w:eastAsia="仿宋" w:cs="仿宋"/>
                <w:color w:val="000000"/>
                <w:kern w:val="0"/>
                <w:sz w:val="32"/>
                <w:szCs w:val="32"/>
                <w:highlight w:val="none"/>
                <w:vertAlign w:val="baseline"/>
                <w:lang w:val="en-US" w:eastAsia="zh-CN"/>
              </w:rPr>
            </w:pPr>
            <w:r>
              <w:rPr>
                <w:rFonts w:hint="eastAsia" w:ascii="仿宋" w:hAnsi="仿宋" w:eastAsia="仿宋" w:cs="仿宋"/>
                <w:color w:val="auto"/>
                <w:sz w:val="32"/>
                <w:szCs w:val="32"/>
              </w:rPr>
              <w:t>20</w:t>
            </w:r>
            <w:r>
              <w:rPr>
                <w:rFonts w:hint="eastAsia" w:ascii="仿宋" w:hAnsi="仿宋" w:eastAsia="仿宋" w:cs="仿宋"/>
                <w:color w:val="auto"/>
                <w:sz w:val="32"/>
                <w:szCs w:val="32"/>
                <w:lang w:val="en-US" w:eastAsia="zh-CN"/>
              </w:rPr>
              <w:t>25</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29</w:t>
            </w:r>
            <w:r>
              <w:rPr>
                <w:rFonts w:hint="eastAsia" w:ascii="仿宋" w:hAnsi="仿宋" w:eastAsia="仿宋" w:cs="仿宋"/>
                <w:color w:val="auto"/>
                <w:sz w:val="32"/>
                <w:szCs w:val="32"/>
              </w:rPr>
              <w:t>日</w:t>
            </w:r>
          </w:p>
        </w:tc>
      </w:tr>
    </w:tbl>
    <w:p w14:paraId="1FAA3BB8">
      <w:pPr>
        <w:pStyle w:val="16"/>
        <w:spacing w:before="120"/>
        <w:ind w:firstLine="1200"/>
        <w:jc w:val="both"/>
        <w:rPr>
          <w:rFonts w:hint="eastAsia" w:ascii="宋体" w:hAnsi="宋体" w:eastAsia="宋体" w:cs="宋体"/>
          <w:color w:val="auto"/>
          <w:sz w:val="32"/>
          <w:szCs w:val="32"/>
        </w:rPr>
      </w:pPr>
    </w:p>
    <w:p w14:paraId="6B5AF1BF">
      <w:pPr>
        <w:jc w:val="left"/>
        <w:rPr>
          <w:rFonts w:hint="eastAsia" w:ascii="宋体" w:hAnsi="宋体" w:eastAsia="宋体" w:cs="宋体"/>
          <w:b/>
          <w:bCs/>
          <w:sz w:val="28"/>
          <w:szCs w:val="28"/>
        </w:rPr>
      </w:pPr>
      <w:r>
        <w:rPr>
          <w:rFonts w:hint="eastAsia" w:ascii="宋体" w:hAnsi="宋体" w:eastAsia="宋体" w:cs="宋体"/>
          <w:sz w:val="44"/>
          <w:szCs w:val="44"/>
        </w:rPr>
        <w:br w:type="page"/>
      </w:r>
      <w:r>
        <w:rPr>
          <w:rFonts w:hint="eastAsia" w:ascii="宋体" w:hAnsi="宋体" w:eastAsia="宋体" w:cs="宋体"/>
          <w:b/>
          <w:bCs/>
          <w:sz w:val="28"/>
          <w:szCs w:val="28"/>
        </w:rPr>
        <w:t>1．产品碳足迹（PCF）介绍</w:t>
      </w:r>
    </w:p>
    <w:p w14:paraId="1A8DEB44">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近年来，温室效应、</w:t>
      </w:r>
      <w:r>
        <w:rPr>
          <w:rFonts w:hint="eastAsia" w:ascii="宋体" w:hAnsi="宋体" w:cs="宋体"/>
          <w:sz w:val="24"/>
          <w:szCs w:val="28"/>
          <w:lang w:eastAsia="zh-CN"/>
        </w:rPr>
        <w:t>气候变化</w:t>
      </w:r>
      <w:r>
        <w:rPr>
          <w:rFonts w:hint="eastAsia" w:ascii="宋体" w:hAnsi="宋体" w:eastAsia="宋体" w:cs="宋体"/>
          <w:sz w:val="24"/>
          <w:szCs w:val="28"/>
        </w:rPr>
        <w:t>已成为全球关注的焦点，“碳足迹”这个新的术语越来越广泛地为全世界所使用。碳足迹通常分为项目层面、组织层面、产品层面这三个层面。产品碳足迹（ Product Carbon Footprint，PCF）是指衡量某个产品在其生命周期各阶段的温室气体排放量总和，即从原材料开采、产品生产（或务提供）、分销、使用到最终处置／再生利用等多个阶段的各种温室气体排放的累加。温室</w:t>
      </w:r>
      <w:r>
        <w:rPr>
          <w:rFonts w:hint="eastAsia" w:ascii="宋体" w:hAnsi="宋体" w:cs="宋体"/>
          <w:sz w:val="24"/>
          <w:szCs w:val="28"/>
          <w:lang w:eastAsia="zh-CN"/>
        </w:rPr>
        <w:t>气体</w:t>
      </w:r>
      <w:r>
        <w:rPr>
          <w:rFonts w:hint="eastAsia" w:ascii="宋体" w:hAnsi="宋体" w:eastAsia="宋体" w:cs="宋体"/>
          <w:sz w:val="24"/>
          <w:szCs w:val="28"/>
        </w:rPr>
        <w:t>包括一氧化碳（CO</w:t>
      </w:r>
      <w:r>
        <w:rPr>
          <w:rFonts w:hint="eastAsia" w:ascii="宋体" w:hAnsi="宋体" w:eastAsia="宋体" w:cs="宋体"/>
          <w:sz w:val="24"/>
          <w:szCs w:val="28"/>
          <w:vertAlign w:val="subscript"/>
        </w:rPr>
        <w:t>2</w:t>
      </w:r>
      <w:r>
        <w:rPr>
          <w:rFonts w:hint="eastAsia" w:ascii="宋体" w:hAnsi="宋体" w:eastAsia="宋体" w:cs="宋体"/>
          <w:sz w:val="24"/>
          <w:szCs w:val="28"/>
        </w:rPr>
        <w:t>）、甲烷（CH</w:t>
      </w:r>
      <w:r>
        <w:rPr>
          <w:rFonts w:hint="eastAsia" w:ascii="宋体" w:hAnsi="宋体" w:eastAsia="宋体" w:cs="宋体"/>
          <w:sz w:val="24"/>
          <w:szCs w:val="28"/>
          <w:vertAlign w:val="subscript"/>
        </w:rPr>
        <w:t>4</w:t>
      </w:r>
      <w:r>
        <w:rPr>
          <w:rFonts w:hint="eastAsia" w:ascii="宋体" w:hAnsi="宋体" w:eastAsia="宋体" w:cs="宋体"/>
          <w:sz w:val="24"/>
          <w:szCs w:val="28"/>
        </w:rPr>
        <w:t>）、氧化亚氮（N</w:t>
      </w:r>
      <w:r>
        <w:rPr>
          <w:rFonts w:hint="eastAsia" w:ascii="宋体" w:hAnsi="宋体" w:eastAsia="宋体" w:cs="宋体"/>
          <w:sz w:val="24"/>
          <w:szCs w:val="28"/>
          <w:vertAlign w:val="subscript"/>
        </w:rPr>
        <w:t>2</w:t>
      </w:r>
      <w:r>
        <w:rPr>
          <w:rFonts w:hint="eastAsia" w:ascii="宋体" w:hAnsi="宋体" w:eastAsia="宋体" w:cs="宋体"/>
          <w:sz w:val="24"/>
          <w:szCs w:val="28"/>
        </w:rPr>
        <w:t>O）、氢氟碳化物（HFO）、全氟化碳（PFC）和</w:t>
      </w:r>
      <w:r>
        <w:rPr>
          <w:rFonts w:hint="eastAsia" w:ascii="宋体" w:hAnsi="宋体" w:cs="宋体"/>
          <w:sz w:val="24"/>
          <w:szCs w:val="28"/>
          <w:lang w:val="en-US" w:eastAsia="zh-CN"/>
        </w:rPr>
        <w:t>三</w:t>
      </w:r>
      <w:r>
        <w:rPr>
          <w:rFonts w:hint="eastAsia" w:ascii="宋体" w:hAnsi="宋体" w:cs="宋体"/>
          <w:sz w:val="24"/>
          <w:szCs w:val="28"/>
          <w:lang w:eastAsia="zh-CN"/>
        </w:rPr>
        <w:t>氟化</w:t>
      </w:r>
      <w:r>
        <w:rPr>
          <w:rFonts w:hint="eastAsia" w:ascii="宋体" w:hAnsi="宋体" w:eastAsia="宋体" w:cs="宋体"/>
          <w:sz w:val="24"/>
          <w:szCs w:val="28"/>
        </w:rPr>
        <w:t>氮（NF</w:t>
      </w:r>
      <w:r>
        <w:rPr>
          <w:rFonts w:hint="eastAsia" w:ascii="宋体" w:hAnsi="宋体" w:eastAsia="宋体" w:cs="宋体"/>
          <w:sz w:val="24"/>
          <w:szCs w:val="28"/>
          <w:vertAlign w:val="subscript"/>
        </w:rPr>
        <w:t>3</w:t>
      </w:r>
      <w:r>
        <w:rPr>
          <w:rFonts w:hint="eastAsia" w:ascii="宋体" w:hAnsi="宋体" w:eastAsia="宋体" w:cs="宋体"/>
          <w:sz w:val="24"/>
          <w:szCs w:val="28"/>
        </w:rPr>
        <w:t>）等。产品碳足迹的计算结果为产品生命周期各种温室气体排放量的加权之和，用二氧化碳当量（CO</w:t>
      </w:r>
      <w:r>
        <w:rPr>
          <w:rFonts w:hint="eastAsia" w:ascii="宋体" w:hAnsi="宋体" w:eastAsia="宋体" w:cs="宋体"/>
          <w:sz w:val="24"/>
          <w:szCs w:val="28"/>
          <w:vertAlign w:val="subscript"/>
        </w:rPr>
        <w:t>2</w:t>
      </w:r>
      <w:r>
        <w:rPr>
          <w:rFonts w:hint="eastAsia" w:ascii="宋体" w:hAnsi="宋体" w:eastAsia="宋体" w:cs="宋体"/>
          <w:sz w:val="24"/>
          <w:szCs w:val="28"/>
        </w:rPr>
        <w:t>e）表示、单位为kgCO</w:t>
      </w:r>
      <w:r>
        <w:rPr>
          <w:rFonts w:hint="eastAsia" w:ascii="宋体" w:hAnsi="宋体" w:eastAsia="宋体" w:cs="宋体"/>
          <w:sz w:val="24"/>
          <w:szCs w:val="28"/>
          <w:vertAlign w:val="subscript"/>
        </w:rPr>
        <w:t>2</w:t>
      </w:r>
      <w:r>
        <w:rPr>
          <w:rFonts w:hint="eastAsia" w:ascii="宋体" w:hAnsi="宋体" w:eastAsia="宋体" w:cs="宋体"/>
          <w:sz w:val="24"/>
          <w:szCs w:val="28"/>
        </w:rPr>
        <w:t>e或者gCO</w:t>
      </w:r>
      <w:r>
        <w:rPr>
          <w:rFonts w:hint="eastAsia" w:ascii="宋体" w:hAnsi="宋体" w:eastAsia="宋体" w:cs="宋体"/>
          <w:sz w:val="24"/>
          <w:szCs w:val="28"/>
          <w:vertAlign w:val="subscript"/>
        </w:rPr>
        <w:t>2</w:t>
      </w:r>
      <w:r>
        <w:rPr>
          <w:rFonts w:hint="eastAsia" w:ascii="宋体" w:hAnsi="宋体" w:eastAsia="宋体" w:cs="宋体"/>
          <w:sz w:val="24"/>
          <w:szCs w:val="28"/>
        </w:rPr>
        <w:t>e。全球变暖潜值（ Global Warming Potential．向称GWP），即各种温室气体的二氧化碳当量值，通常采用联合国政府间气候变化专家委员会（IPCC）提供的值，目</w:t>
      </w:r>
      <w:r>
        <w:rPr>
          <w:rFonts w:hint="eastAsia" w:ascii="宋体" w:hAnsi="宋体" w:eastAsia="宋体" w:cs="宋体"/>
          <w:sz w:val="24"/>
          <w:szCs w:val="28"/>
          <w:lang w:eastAsia="zh-CN"/>
        </w:rPr>
        <w:t>阿</w:t>
      </w:r>
      <w:r>
        <w:rPr>
          <w:rFonts w:hint="eastAsia" w:ascii="宋体" w:hAnsi="宋体" w:eastAsia="宋体" w:cs="宋体"/>
          <w:sz w:val="24"/>
          <w:szCs w:val="28"/>
        </w:rPr>
        <w:t>前这套因子被全球范围广泛使用。</w:t>
      </w:r>
    </w:p>
    <w:p w14:paraId="392677B1">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产品碳足迹计算只包含一个完整生命周期评估（LCA）的温室气体的部分。基于LCA的评价方法，国际上已建立起多种碳足迹评估指南和要求，用于产品碳足迹认证，目前广泛使用的碳足迹评估标准有三种：</w:t>
      </w:r>
    </w:p>
    <w:p w14:paraId="256D0E37">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（1）《PAS2050：2011商品和服务在生命周期内的温室气体排放评价规范》，此标准是由英国标准协会（BSI）与碳信托公司（ Carbon Trust）、英国食品和乡村事务部（ Defra）联合发布，是国际上最早的、具有具体计算方法的标准，也是目前使用较多的产品碳足迹评价标准；</w:t>
      </w:r>
    </w:p>
    <w:p w14:paraId="4DCDAE49">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（2）《温室气体核算体系：产品寿命周期核算与报告标准》，此标准是由世界资源研究所（ World Resources Institute，简称VRI）和世界可持续发展工商理事会（World Business Council for Sustainable Development，简称WBCSD）发布的产品和供应链标准；</w:t>
      </w:r>
    </w:p>
    <w:p w14:paraId="7A6D37E4">
      <w:pPr>
        <w:spacing w:line="360" w:lineRule="auto"/>
        <w:ind w:firstLine="480" w:firstLineChars="200"/>
        <w:jc w:val="left"/>
        <w:rPr>
          <w:rFonts w:hint="eastAsia" w:ascii="宋体" w:hAnsi="宋体" w:eastAsia="宋体" w:cs="宋体"/>
          <w:sz w:val="28"/>
          <w:szCs w:val="28"/>
        </w:rPr>
      </w:pPr>
      <w:r>
        <w:rPr>
          <w:rFonts w:hint="eastAsia" w:ascii="宋体" w:hAnsi="宋体" w:eastAsia="宋体" w:cs="宋体"/>
          <w:sz w:val="24"/>
          <w:szCs w:val="28"/>
        </w:rPr>
        <w:t>（3）ISO/TS 14067：2013温室气体——产品碳足迹——量化和信息交流的要求与指南》，此标准以PAS 2050为种子文件，由国际标准化组织（ISO）编制发布。产品碳足迹核算标准的</w:t>
      </w:r>
      <w:r>
        <w:rPr>
          <w:rFonts w:hint="eastAsia" w:ascii="宋体" w:hAnsi="宋体" w:cs="宋体"/>
          <w:sz w:val="24"/>
          <w:szCs w:val="28"/>
          <w:lang w:eastAsia="zh-CN"/>
        </w:rPr>
        <w:t>出台</w:t>
      </w:r>
      <w:r>
        <w:rPr>
          <w:rFonts w:hint="eastAsia" w:ascii="宋体" w:hAnsi="宋体" w:eastAsia="宋体" w:cs="宋体"/>
          <w:sz w:val="24"/>
          <w:szCs w:val="28"/>
        </w:rPr>
        <w:t>目的是建立一个一致的、</w:t>
      </w:r>
      <w:r>
        <w:rPr>
          <w:rFonts w:hint="eastAsia" w:ascii="宋体" w:hAnsi="宋体" w:cs="宋体"/>
          <w:sz w:val="24"/>
          <w:szCs w:val="28"/>
          <w:lang w:eastAsia="zh-CN"/>
        </w:rPr>
        <w:t>国际</w:t>
      </w:r>
      <w:r>
        <w:rPr>
          <w:rFonts w:hint="eastAsia" w:ascii="宋体" w:hAnsi="宋体" w:eastAsia="宋体" w:cs="宋体"/>
          <w:sz w:val="24"/>
          <w:szCs w:val="28"/>
        </w:rPr>
        <w:t>认可的评估产品碳足迹的方法。</w:t>
      </w:r>
    </w:p>
    <w:p w14:paraId="2DBE37EA">
      <w:pPr>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rPr>
        <w:br w:type="page"/>
      </w:r>
    </w:p>
    <w:p w14:paraId="23BC5E02">
      <w:pPr>
        <w:spacing w:line="360" w:lineRule="auto"/>
        <w:jc w:val="left"/>
        <w:rPr>
          <w:rFonts w:hint="eastAsia" w:ascii="宋体" w:hAnsi="宋体" w:eastAsia="宋体" w:cs="宋体"/>
          <w:b/>
          <w:bCs/>
          <w:sz w:val="28"/>
          <w:szCs w:val="28"/>
        </w:rPr>
      </w:pPr>
      <w:r>
        <w:rPr>
          <w:rFonts w:hint="eastAsia" w:ascii="宋体" w:hAnsi="宋体" w:eastAsia="宋体" w:cs="宋体"/>
          <w:b/>
          <w:bCs/>
          <w:sz w:val="28"/>
          <w:szCs w:val="28"/>
        </w:rPr>
        <w:t>2.目标与范围定义</w:t>
      </w:r>
    </w:p>
    <w:p w14:paraId="6D2262BF">
      <w:pPr>
        <w:keepNext w:val="0"/>
        <w:keepLines w:val="0"/>
        <w:pageBreakBefore w:val="0"/>
        <w:widowControl w:val="0"/>
        <w:kinsoku/>
        <w:wordWrap/>
        <w:topLinePunct w:val="0"/>
        <w:bidi w:val="0"/>
        <w:adjustRightInd w:val="0"/>
        <w:snapToGrid w:val="0"/>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2.1 企业及其产品介绍</w:t>
      </w:r>
    </w:p>
    <w:p w14:paraId="7E9E1F01">
      <w:pPr>
        <w:pageBreakBefore w:val="0"/>
        <w:kinsoku/>
        <w:topLinePunct w:val="0"/>
        <w:bidi w:val="0"/>
        <w:adjustRightInd w:val="0"/>
        <w:snapToGrid w:val="0"/>
        <w:spacing w:line="360"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深圳市安高模具有限公司成立于2007年02月，注册资本1000万元，位于深圳市宝安区福海街道新和社区富桥三区龙辉工业园5号厂房101，占地面积3500平方米。申报工厂是一家集注塑模具设计、制造与注塑成型为一体的专业生产制造企业，配备了国内外高端的高精密生产及测量设备，可为注塑模具及塑胶产品提供全方位的解决方案，年制模能力500余套。申报工厂在注塑模具行业，属于领先企业，对热流道模、双色三色模、包胶模、抽芯模、叠层模、多腔模等结构复杂，工艺难度高的模具设计与制造有丰富的经验，对各类工程塑料、加纤塑料的工程性能及物料属性具有较深的理解。</w:t>
      </w:r>
    </w:p>
    <w:p w14:paraId="62598A05">
      <w:pPr>
        <w:pageBreakBefore w:val="0"/>
        <w:kinsoku/>
        <w:topLinePunct w:val="0"/>
        <w:bidi w:val="0"/>
        <w:adjustRightInd w:val="0"/>
        <w:snapToGrid w:val="0"/>
        <w:spacing w:line="360" w:lineRule="auto"/>
        <w:ind w:firstLine="480"/>
        <w:rPr>
          <w:rFonts w:hint="eastAsia" w:ascii="宋体" w:hAnsi="宋体" w:eastAsia="宋体" w:cs="宋体"/>
          <w:sz w:val="24"/>
          <w:szCs w:val="24"/>
          <w:lang w:val="en-US" w:eastAsia="zh-CN"/>
        </w:rPr>
      </w:pPr>
      <w:r>
        <w:rPr>
          <w:rFonts w:hint="eastAsia" w:ascii="宋体" w:hAnsi="宋体" w:cs="宋体"/>
          <w:sz w:val="24"/>
          <w:szCs w:val="24"/>
          <w:lang w:val="en-US" w:eastAsia="zh-CN"/>
        </w:rPr>
        <w:t>公司拥有完善的管理组织机构及管理体系，建有质量管理体系、环境管理体系、职业健康安全管理体系、能源管理体系，且全部通过认证。申报工厂以管理体系的有效运行推进质量控制、环境保护、安全落实、能效管控等标准化管理。申报工厂于2022年被评为高新技术企业和创新型中小企业，2023年被评为专精特新中小企业，2024年被评为科技型中小企业，同时拥有专利18项</w:t>
      </w:r>
      <w:r>
        <w:rPr>
          <w:rFonts w:hint="eastAsia" w:ascii="宋体" w:hAnsi="宋体" w:eastAsia="宋体" w:cs="宋体"/>
          <w:sz w:val="24"/>
          <w:szCs w:val="24"/>
          <w:lang w:val="en-US" w:eastAsia="zh-CN"/>
        </w:rPr>
        <w:t>。</w:t>
      </w:r>
    </w:p>
    <w:p w14:paraId="7D2D2FE6">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2.2研究目的</w:t>
      </w:r>
    </w:p>
    <w:p w14:paraId="0A8A9F47">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本研究的目的是得到</w:t>
      </w:r>
      <w:r>
        <w:rPr>
          <w:rFonts w:hint="eastAsia" w:ascii="宋体" w:hAnsi="宋体" w:cs="宋体"/>
          <w:sz w:val="24"/>
          <w:szCs w:val="28"/>
          <w:lang w:eastAsia="zh-CN"/>
        </w:rPr>
        <w:t>深圳市安高模具有限公司</w:t>
      </w:r>
      <w:r>
        <w:rPr>
          <w:rFonts w:hint="eastAsia" w:ascii="宋体" w:hAnsi="宋体" w:eastAsia="宋体" w:cs="宋体"/>
          <w:sz w:val="24"/>
          <w:szCs w:val="28"/>
          <w:lang w:eastAsia="zh-Hans"/>
        </w:rPr>
        <w:t>生产</w:t>
      </w:r>
      <w:r>
        <w:rPr>
          <w:rFonts w:hint="eastAsia" w:ascii="宋体" w:hAnsi="宋体" w:eastAsia="宋体" w:cs="宋体"/>
          <w:sz w:val="24"/>
          <w:szCs w:val="28"/>
        </w:rPr>
        <w:t>产品</w:t>
      </w:r>
      <w:r>
        <w:rPr>
          <w:rFonts w:hint="eastAsia" w:ascii="宋体" w:hAnsi="宋体" w:eastAsia="宋体" w:cs="宋体"/>
          <w:sz w:val="24"/>
          <w:szCs w:val="28"/>
          <w:lang w:eastAsia="zh-Hans"/>
        </w:rPr>
        <w:t>的</w:t>
      </w:r>
      <w:r>
        <w:rPr>
          <w:rFonts w:hint="eastAsia" w:ascii="宋体" w:hAnsi="宋体" w:eastAsia="宋体" w:cs="宋体"/>
          <w:sz w:val="24"/>
          <w:szCs w:val="28"/>
        </w:rPr>
        <w:t>制造过程的碳足迹，其研究结果有利于</w:t>
      </w:r>
      <w:r>
        <w:rPr>
          <w:rFonts w:hint="eastAsia" w:ascii="宋体" w:hAnsi="宋体" w:cs="宋体"/>
          <w:sz w:val="24"/>
          <w:szCs w:val="28"/>
          <w:lang w:eastAsia="zh-CN"/>
        </w:rPr>
        <w:t>深圳市安高模具有限公司</w:t>
      </w:r>
      <w:r>
        <w:rPr>
          <w:rFonts w:hint="eastAsia" w:ascii="宋体" w:hAnsi="宋体" w:eastAsia="宋体" w:cs="宋体"/>
          <w:sz w:val="24"/>
          <w:szCs w:val="28"/>
        </w:rPr>
        <w:t>掌握温室气体排放途径及排放量，并帮助企业发掘减排潜力、有效沟通消费者、提高声誉强化品牌，从而有效</w:t>
      </w:r>
      <w:r>
        <w:rPr>
          <w:rFonts w:hint="eastAsia" w:ascii="宋体" w:hAnsi="宋体" w:cs="宋体"/>
          <w:sz w:val="24"/>
          <w:szCs w:val="28"/>
          <w:lang w:eastAsia="zh-CN"/>
        </w:rPr>
        <w:t>地</w:t>
      </w:r>
      <w:r>
        <w:rPr>
          <w:rFonts w:hint="eastAsia" w:ascii="宋体" w:hAnsi="宋体" w:eastAsia="宋体" w:cs="宋体"/>
          <w:sz w:val="24"/>
          <w:szCs w:val="28"/>
        </w:rPr>
        <w:t>减少温室气体的排放；同时为产品采购商和第三方有效沟通提供良好的数据基础。</w:t>
      </w:r>
    </w:p>
    <w:p w14:paraId="10117C68">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2.3碳足迹范围描述</w:t>
      </w:r>
    </w:p>
    <w:p w14:paraId="7C11037F">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本报告核查的温室气体种类包含IPCC第5次评估报告中所列的温室气体，如二氧化碳（CO</w:t>
      </w:r>
      <w:r>
        <w:rPr>
          <w:rFonts w:hint="eastAsia" w:ascii="宋体" w:hAnsi="宋体" w:eastAsia="宋体" w:cs="宋体"/>
          <w:sz w:val="24"/>
          <w:szCs w:val="28"/>
          <w:vertAlign w:val="subscript"/>
        </w:rPr>
        <w:t>2</w:t>
      </w:r>
      <w:r>
        <w:rPr>
          <w:rFonts w:hint="eastAsia" w:ascii="宋体" w:hAnsi="宋体" w:eastAsia="宋体" w:cs="宋体"/>
          <w:sz w:val="24"/>
          <w:szCs w:val="28"/>
        </w:rPr>
        <w:t>）、臭氧（O</w:t>
      </w:r>
      <w:r>
        <w:rPr>
          <w:rFonts w:hint="eastAsia" w:ascii="宋体" w:hAnsi="宋体" w:eastAsia="宋体" w:cs="宋体"/>
          <w:sz w:val="24"/>
          <w:szCs w:val="28"/>
          <w:vertAlign w:val="subscript"/>
        </w:rPr>
        <w:t>3</w:t>
      </w:r>
      <w:r>
        <w:rPr>
          <w:rFonts w:hint="eastAsia" w:ascii="宋体" w:hAnsi="宋体" w:eastAsia="宋体" w:cs="宋体"/>
          <w:sz w:val="24"/>
          <w:szCs w:val="28"/>
        </w:rPr>
        <w:t>）、氧化亚氮（N</w:t>
      </w:r>
      <w:r>
        <w:rPr>
          <w:rFonts w:hint="eastAsia" w:ascii="宋体" w:hAnsi="宋体" w:eastAsia="宋体" w:cs="宋体"/>
          <w:sz w:val="24"/>
          <w:szCs w:val="28"/>
          <w:vertAlign w:val="subscript"/>
        </w:rPr>
        <w:t>2</w:t>
      </w:r>
      <w:r>
        <w:rPr>
          <w:rFonts w:hint="eastAsia" w:ascii="宋体" w:hAnsi="宋体" w:eastAsia="宋体" w:cs="宋体"/>
          <w:sz w:val="24"/>
          <w:szCs w:val="28"/>
        </w:rPr>
        <w:t>O）、甲烷（CH</w:t>
      </w:r>
      <w:r>
        <w:rPr>
          <w:rFonts w:hint="eastAsia" w:ascii="宋体" w:hAnsi="宋体" w:eastAsia="宋体" w:cs="宋体"/>
          <w:sz w:val="24"/>
          <w:szCs w:val="28"/>
          <w:vertAlign w:val="subscript"/>
        </w:rPr>
        <w:t>4</w:t>
      </w:r>
      <w:r>
        <w:rPr>
          <w:rFonts w:hint="eastAsia" w:ascii="宋体" w:hAnsi="宋体" w:eastAsia="宋体" w:cs="宋体"/>
          <w:sz w:val="24"/>
          <w:szCs w:val="28"/>
        </w:rPr>
        <w:t>）、氢氟氯碳化物类（CFCs，HFCs，HCFCs）、全氟碳化物（PFCs）及六氟化硫（SF6）等，并且采用了IPCC第五次评估报告（2013年）提出的方法来计算产品生产周期的GWP值。</w:t>
      </w:r>
    </w:p>
    <w:p w14:paraId="3BE1524B">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为方便轻量化，将碳足迹的计算定义为</w:t>
      </w:r>
      <w:r>
        <w:rPr>
          <w:rFonts w:hint="eastAsia" w:ascii="宋体" w:hAnsi="宋体" w:eastAsia="宋体" w:cs="宋体"/>
          <w:sz w:val="24"/>
          <w:szCs w:val="28"/>
          <w:lang w:eastAsia="zh-Hans"/>
        </w:rPr>
        <w:t>生产</w:t>
      </w:r>
      <w:r>
        <w:rPr>
          <w:rFonts w:hint="eastAsia" w:ascii="宋体" w:hAnsi="宋体" w:eastAsia="宋体" w:cs="宋体"/>
          <w:sz w:val="24"/>
          <w:szCs w:val="28"/>
        </w:rPr>
        <w:t>产品“</w:t>
      </w:r>
      <w:r>
        <w:rPr>
          <w:rFonts w:hint="eastAsia" w:ascii="宋体" w:hAnsi="宋体" w:eastAsia="宋体" w:cs="宋体"/>
          <w:sz w:val="24"/>
          <w:szCs w:val="28"/>
          <w:lang w:val="en-US" w:eastAsia="zh-CN"/>
        </w:rPr>
        <w:t>每</w:t>
      </w:r>
      <w:r>
        <w:rPr>
          <w:rFonts w:hint="eastAsia" w:ascii="宋体" w:hAnsi="宋体" w:cs="宋体"/>
          <w:sz w:val="24"/>
          <w:szCs w:val="28"/>
          <w:lang w:val="en-US" w:eastAsia="zh-CN"/>
        </w:rPr>
        <w:t>套</w:t>
      </w:r>
      <w:r>
        <w:rPr>
          <w:rFonts w:hint="eastAsia" w:ascii="宋体" w:hAnsi="宋体" w:eastAsia="宋体" w:cs="宋体"/>
          <w:sz w:val="24"/>
          <w:szCs w:val="28"/>
          <w:lang w:val="en-US" w:eastAsia="zh-CN"/>
        </w:rPr>
        <w:t>产品</w:t>
      </w:r>
      <w:r>
        <w:rPr>
          <w:rFonts w:hint="eastAsia" w:ascii="宋体" w:hAnsi="宋体" w:eastAsia="宋体" w:cs="宋体"/>
          <w:sz w:val="24"/>
          <w:szCs w:val="28"/>
        </w:rPr>
        <w:t>”所产生的碳足迹。</w:t>
      </w:r>
    </w:p>
    <w:p w14:paraId="696A61CE">
      <w:pPr>
        <w:spacing w:line="360" w:lineRule="auto"/>
        <w:ind w:firstLine="480" w:firstLineChars="200"/>
        <w:jc w:val="left"/>
        <w:rPr>
          <w:rFonts w:hint="eastAsia" w:ascii="宋体" w:hAnsi="宋体" w:eastAsia="宋体" w:cs="宋体"/>
          <w:sz w:val="24"/>
          <w:szCs w:val="28"/>
        </w:rPr>
      </w:pPr>
      <w:r>
        <w:rPr>
          <w:rFonts w:hint="eastAsia" w:ascii="宋体" w:hAnsi="宋体" w:eastAsia="宋体" w:cs="宋体"/>
          <w:sz w:val="24"/>
          <w:szCs w:val="28"/>
        </w:rPr>
        <w:t>核查周期为</w:t>
      </w:r>
      <w:r>
        <w:rPr>
          <w:rFonts w:hint="eastAsia" w:ascii="宋体" w:hAnsi="宋体" w:eastAsia="宋体" w:cs="宋体"/>
          <w:sz w:val="24"/>
          <w:szCs w:val="28"/>
          <w:lang w:eastAsia="zh-CN"/>
        </w:rPr>
        <w:t>202</w:t>
      </w:r>
      <w:r>
        <w:rPr>
          <w:rFonts w:hint="eastAsia" w:ascii="宋体" w:hAnsi="宋体" w:cs="宋体"/>
          <w:sz w:val="24"/>
          <w:szCs w:val="28"/>
          <w:lang w:val="en-US" w:eastAsia="zh-CN"/>
        </w:rPr>
        <w:t>4</w:t>
      </w:r>
      <w:r>
        <w:rPr>
          <w:rFonts w:hint="eastAsia" w:ascii="宋体" w:hAnsi="宋体" w:eastAsia="宋体" w:cs="宋体"/>
          <w:sz w:val="24"/>
          <w:szCs w:val="28"/>
        </w:rPr>
        <w:t>年1月1日到</w:t>
      </w:r>
      <w:r>
        <w:rPr>
          <w:rFonts w:hint="eastAsia" w:ascii="宋体" w:hAnsi="宋体" w:eastAsia="宋体" w:cs="宋体"/>
          <w:sz w:val="24"/>
          <w:szCs w:val="28"/>
          <w:lang w:eastAsia="zh-CN"/>
        </w:rPr>
        <w:t>202</w:t>
      </w:r>
      <w:r>
        <w:rPr>
          <w:rFonts w:hint="eastAsia" w:ascii="宋体" w:hAnsi="宋体" w:cs="宋体"/>
          <w:sz w:val="24"/>
          <w:szCs w:val="28"/>
          <w:lang w:val="en-US" w:eastAsia="zh-CN"/>
        </w:rPr>
        <w:t>4</w:t>
      </w:r>
      <w:r>
        <w:rPr>
          <w:rFonts w:hint="eastAsia" w:ascii="宋体" w:hAnsi="宋体" w:eastAsia="宋体" w:cs="宋体"/>
          <w:sz w:val="24"/>
          <w:szCs w:val="28"/>
        </w:rPr>
        <w:t>年12月31日。</w:t>
      </w:r>
    </w:p>
    <w:p w14:paraId="2F58969C">
      <w:pPr>
        <w:spacing w:line="360" w:lineRule="auto"/>
        <w:ind w:firstLine="480" w:firstLineChars="200"/>
        <w:jc w:val="left"/>
        <w:rPr>
          <w:rFonts w:hint="eastAsia" w:ascii="宋体" w:hAnsi="宋体" w:eastAsia="宋体" w:cs="宋体"/>
          <w:sz w:val="28"/>
          <w:szCs w:val="28"/>
        </w:rPr>
      </w:pPr>
      <w:r>
        <w:rPr>
          <w:rFonts w:hint="eastAsia" w:ascii="宋体" w:hAnsi="宋体" w:eastAsia="宋体" w:cs="宋体"/>
          <w:sz w:val="24"/>
          <w:szCs w:val="28"/>
        </w:rPr>
        <w:t>核查地点为</w:t>
      </w:r>
      <w:r>
        <w:rPr>
          <w:rFonts w:hint="eastAsia" w:ascii="宋体" w:hAnsi="宋体" w:cs="宋体"/>
          <w:sz w:val="24"/>
          <w:szCs w:val="28"/>
          <w:lang w:eastAsia="zh-CN"/>
        </w:rPr>
        <w:t>深圳市安高模具有限公司</w:t>
      </w:r>
      <w:r>
        <w:rPr>
          <w:rFonts w:hint="eastAsia" w:ascii="宋体" w:hAnsi="宋体" w:eastAsia="宋体" w:cs="宋体"/>
          <w:sz w:val="24"/>
          <w:szCs w:val="28"/>
        </w:rPr>
        <w:t>（地址：深圳市宝安区福海街道新和社区富桥三区龙辉工业园5号厂房101）。</w:t>
      </w:r>
    </w:p>
    <w:p w14:paraId="0DA47728">
      <w:pPr>
        <w:ind w:left="0" w:leftChars="0" w:right="0" w:rightChars="0" w:firstLine="0" w:firstLineChars="0"/>
        <w:jc w:val="center"/>
        <w:rPr>
          <w:rFonts w:hint="eastAsia" w:ascii="宋体" w:hAnsi="宋体" w:eastAsia="宋体" w:cs="宋体"/>
          <w:sz w:val="24"/>
          <w:szCs w:val="18"/>
        </w:rPr>
      </w:pPr>
      <w:r>
        <w:rPr>
          <w:rFonts w:hint="eastAsia" w:ascii="宋体" w:hAnsi="宋体" w:eastAsia="宋体" w:cs="宋体"/>
          <w:sz w:val="28"/>
        </w:rPr>
        <mc:AlternateContent>
          <mc:Choice Requires="wps">
            <w:drawing>
              <wp:anchor distT="0" distB="0" distL="114300" distR="114300" simplePos="0" relativeHeight="251664384" behindDoc="0" locked="0" layoutInCell="1" allowOverlap="1">
                <wp:simplePos x="0" y="0"/>
                <wp:positionH relativeFrom="column">
                  <wp:posOffset>3256280</wp:posOffset>
                </wp:positionH>
                <wp:positionV relativeFrom="paragraph">
                  <wp:posOffset>503555</wp:posOffset>
                </wp:positionV>
                <wp:extent cx="1007745" cy="635"/>
                <wp:effectExtent l="0" t="76200" r="20955" b="113665"/>
                <wp:wrapNone/>
                <wp:docPr id="37" name="直线 42"/>
                <wp:cNvGraphicFramePr/>
                <a:graphic xmlns:a="http://schemas.openxmlformats.org/drawingml/2006/main">
                  <a:graphicData uri="http://schemas.microsoft.com/office/word/2010/wordprocessingShape">
                    <wps:wsp>
                      <wps:cNvCnPr/>
                      <wps:spPr>
                        <a:xfrm>
                          <a:off x="0" y="0"/>
                          <a:ext cx="100800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42" o:spid="_x0000_s1026" o:spt="20" style="position:absolute;left:0pt;margin-left:256.4pt;margin-top:39.65pt;height:0.05pt;width:79.35pt;z-index:251664384;mso-width-relative:page;mso-height-relative:page;" filled="f" stroked="t" coordsize="21600,21600" o:gfxdata="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Nk+&#10;6jfaAAAACQEAAA8AAAAAAAAAAQAgAAAAIgAAAGRycy9kb3ducmV2LnhtbFBLAQIUABQAAAAIAIdO&#10;4kDD4Mj/6AEAANQDAAAOAAAAAAAAAAEAIAAAACkBAABkcnMvZTJvRG9jLnhtbFBLBQYAAAAABgAG&#10;AFkBAACDBQAAAAA=&#10;">
                <v:fill on="f" focussize="0,0"/>
                <v:stroke color="#000000" joinstyle="round" endarrow="open"/>
                <v:imagedata o:title=""/>
                <o:lock v:ext="edit" aspectratio="f"/>
              </v:line>
            </w:pict>
          </mc:Fallback>
        </mc:AlternateContent>
      </w:r>
      <w:r>
        <w:rPr>
          <w:rFonts w:hint="eastAsia" w:ascii="宋体" w:hAnsi="宋体" w:eastAsia="宋体" w:cs="宋体"/>
          <w:sz w:val="28"/>
        </w:rPr>
        <mc:AlternateContent>
          <mc:Choice Requires="wps">
            <w:drawing>
              <wp:anchor distT="0" distB="0" distL="114300" distR="114300" simplePos="0" relativeHeight="251661312" behindDoc="0" locked="0" layoutInCell="1" allowOverlap="1">
                <wp:simplePos x="0" y="0"/>
                <wp:positionH relativeFrom="column">
                  <wp:posOffset>2387600</wp:posOffset>
                </wp:positionH>
                <wp:positionV relativeFrom="paragraph">
                  <wp:posOffset>344805</wp:posOffset>
                </wp:positionV>
                <wp:extent cx="732790" cy="285750"/>
                <wp:effectExtent l="0" t="0" r="10160" b="19050"/>
                <wp:wrapNone/>
                <wp:docPr id="17" name="文本框 34"/>
                <wp:cNvGraphicFramePr/>
                <a:graphic xmlns:a="http://schemas.openxmlformats.org/drawingml/2006/main">
                  <a:graphicData uri="http://schemas.microsoft.com/office/word/2010/wordprocessingShape">
                    <wps:wsp>
                      <wps:cNvSpPr txBox="1"/>
                      <wps:spPr>
                        <a:xfrm>
                          <a:off x="0" y="0"/>
                          <a:ext cx="73279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1362E222">
                            <w:pPr>
                              <w:jc w:val="center"/>
                            </w:pPr>
                            <w:r>
                              <w:rPr>
                                <w:rFonts w:hint="eastAsia" w:ascii="仿宋" w:hAnsi="仿宋" w:eastAsia="仿宋" w:cs="仿宋"/>
                              </w:rPr>
                              <w:t>产品生产</w:t>
                            </w:r>
                          </w:p>
                        </w:txbxContent>
                      </wps:txbx>
                      <wps:bodyPr vert="horz" wrap="square" anchor="t" upright="1"/>
                    </wps:wsp>
                  </a:graphicData>
                </a:graphic>
              </wp:anchor>
            </w:drawing>
          </mc:Choice>
          <mc:Fallback>
            <w:pict>
              <v:shape id="文本框 34" o:spid="_x0000_s1026" o:spt="202" type="#_x0000_t202" style="position:absolute;left:0pt;margin-left:188pt;margin-top:27.15pt;height:22.5pt;width:57.7pt;z-index:251661312;mso-width-relative:page;mso-height-relative:page;" fillcolor="#D9D9D9" filled="t" stroked="t" coordsize="21600,21600" o:gfxdata="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MwoQQzWAAAACQEAAA8AAAAAAAAAAQAgAAAAIgAAAGRycy9kb3ducmV2LnhtbFBLAQIUABQAAAAI&#10;AIdO4kA0efCuKAIAAFwEAAAOAAAAAAAAAAEAIAAAACUBAABkcnMvZTJvRG9jLnhtbFBLBQYAAAAA&#10;BgAGAFkBAAC/BQAAAAA=&#10;">
                <v:fill on="t" focussize="0,0"/>
                <v:stroke color="#000000" joinstyle="miter"/>
                <v:imagedata o:title=""/>
                <o:lock v:ext="edit" aspectratio="f"/>
                <v:textbox>
                  <w:txbxContent>
                    <w:p w14:paraId="1362E222">
                      <w:pPr>
                        <w:jc w:val="center"/>
                      </w:pPr>
                      <w:r>
                        <w:rPr>
                          <w:rFonts w:hint="eastAsia" w:ascii="仿宋" w:hAnsi="仿宋" w:eastAsia="仿宋" w:cs="仿宋"/>
                        </w:rPr>
                        <w:t>产品生产</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63360" behindDoc="0" locked="0" layoutInCell="1" allowOverlap="1">
                <wp:simplePos x="0" y="0"/>
                <wp:positionH relativeFrom="column">
                  <wp:posOffset>4358005</wp:posOffset>
                </wp:positionH>
                <wp:positionV relativeFrom="paragraph">
                  <wp:posOffset>339725</wp:posOffset>
                </wp:positionV>
                <wp:extent cx="599440" cy="285750"/>
                <wp:effectExtent l="0" t="0" r="10160" b="19050"/>
                <wp:wrapNone/>
                <wp:docPr id="23" name="文本框 43"/>
                <wp:cNvGraphicFramePr/>
                <a:graphic xmlns:a="http://schemas.openxmlformats.org/drawingml/2006/main">
                  <a:graphicData uri="http://schemas.microsoft.com/office/word/2010/wordprocessingShape">
                    <wps:wsp>
                      <wps:cNvSpPr txBox="1"/>
                      <wps:spPr>
                        <a:xfrm>
                          <a:off x="0" y="0"/>
                          <a:ext cx="599440"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17BB4A44">
                            <w:pPr>
                              <w:jc w:val="center"/>
                            </w:pPr>
                            <w:r>
                              <w:rPr>
                                <w:rFonts w:hint="eastAsia" w:ascii="仿宋" w:hAnsi="仿宋" w:eastAsia="仿宋" w:cs="仿宋"/>
                              </w:rPr>
                              <w:t>产品</w:t>
                            </w:r>
                          </w:p>
                        </w:txbxContent>
                      </wps:txbx>
                      <wps:bodyPr vert="horz" wrap="square" anchor="t" upright="1"/>
                    </wps:wsp>
                  </a:graphicData>
                </a:graphic>
              </wp:anchor>
            </w:drawing>
          </mc:Choice>
          <mc:Fallback>
            <w:pict>
              <v:shape id="文本框 43" o:spid="_x0000_s1026" o:spt="202" type="#_x0000_t202" style="position:absolute;left:0pt;margin-left:343.15pt;margin-top:26.75pt;height:22.5pt;width:47.2pt;z-index:251663360;mso-width-relative:page;mso-height-relative:page;" fillcolor="#D9D9D9" filled="t" stroked="t" coordsize="21600,21600" o:gfxdata="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Ds1rgZ1gAAAAkBAAAPAAAAAAAAAAEAIAAAACIAAABkcnMvZG93bnJldi54bWxQSwECFAAUAAAA&#10;CACHTuJAFZDQICkCAABcBAAADgAAAAAAAAABACAAAAAlAQAAZHJzL2Uyb0RvYy54bWxQSwUGAAAA&#10;AAYABgBZAQAAwAUAAAAA&#10;">
                <v:fill on="t" focussize="0,0"/>
                <v:stroke color="#000000" joinstyle="miter"/>
                <v:imagedata o:title=""/>
                <o:lock v:ext="edit" aspectratio="f"/>
                <v:textbox>
                  <w:txbxContent>
                    <w:p w14:paraId="17BB4A44">
                      <w:pPr>
                        <w:jc w:val="center"/>
                      </w:pPr>
                      <w:r>
                        <w:rPr>
                          <w:rFonts w:hint="eastAsia" w:ascii="仿宋" w:hAnsi="仿宋" w:eastAsia="仿宋" w:cs="仿宋"/>
                        </w:rPr>
                        <w:t>产品</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60288" behindDoc="0" locked="0" layoutInCell="1" allowOverlap="1">
                <wp:simplePos x="0" y="0"/>
                <wp:positionH relativeFrom="column">
                  <wp:posOffset>489585</wp:posOffset>
                </wp:positionH>
                <wp:positionV relativeFrom="paragraph">
                  <wp:posOffset>383540</wp:posOffset>
                </wp:positionV>
                <wp:extent cx="894715" cy="285750"/>
                <wp:effectExtent l="0" t="0" r="19685" b="19050"/>
                <wp:wrapNone/>
                <wp:docPr id="16" name="文本框 37"/>
                <wp:cNvGraphicFramePr/>
                <a:graphic xmlns:a="http://schemas.openxmlformats.org/drawingml/2006/main">
                  <a:graphicData uri="http://schemas.microsoft.com/office/word/2010/wordprocessingShape">
                    <wps:wsp>
                      <wps:cNvSpPr txBox="1"/>
                      <wps:spPr>
                        <a:xfrm>
                          <a:off x="0" y="0"/>
                          <a:ext cx="894715" cy="285750"/>
                        </a:xfrm>
                        <a:prstGeom prst="rect">
                          <a:avLst/>
                        </a:prstGeom>
                        <a:solidFill>
                          <a:srgbClr val="D9D9D9"/>
                        </a:solidFill>
                        <a:ln w="9525" cap="flat" cmpd="sng">
                          <a:solidFill>
                            <a:srgbClr val="000000"/>
                          </a:solidFill>
                          <a:prstDash val="solid"/>
                          <a:miter/>
                          <a:headEnd type="none" w="med" len="med"/>
                          <a:tailEnd type="none" w="med" len="med"/>
                        </a:ln>
                      </wps:spPr>
                      <wps:txbx>
                        <w:txbxContent>
                          <w:p w14:paraId="7A8FA304">
                            <w:pPr>
                              <w:jc w:val="center"/>
                            </w:pPr>
                            <w:r>
                              <w:rPr>
                                <w:rFonts w:hint="eastAsia" w:ascii="仿宋" w:hAnsi="仿宋" w:eastAsia="仿宋" w:cs="仿宋"/>
                              </w:rPr>
                              <w:t>资源与能源</w:t>
                            </w:r>
                          </w:p>
                        </w:txbxContent>
                      </wps:txbx>
                      <wps:bodyPr vert="horz" wrap="square" anchor="t" upright="1"/>
                    </wps:wsp>
                  </a:graphicData>
                </a:graphic>
              </wp:anchor>
            </w:drawing>
          </mc:Choice>
          <mc:Fallback>
            <w:pict>
              <v:shape id="文本框 37" o:spid="_x0000_s1026" o:spt="202" type="#_x0000_t202" style="position:absolute;left:0pt;margin-left:38.55pt;margin-top:30.2pt;height:22.5pt;width:70.45pt;z-index:251660288;mso-width-relative:page;mso-height-relative:page;" fillcolor="#D9D9D9" filled="t" stroked="t" coordsize="21600,21600" o:gfxdata="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LrvFWtUAAAAJAQAADwAAAAAAAAABACAAAAAiAAAAZHJzL2Rvd25yZXYueG1sUEsBAhQAFAAAAAgA&#10;h07iQIkKe5coAgAAXAQAAA4AAAAAAAAAAQAgAAAAJAEAAGRycy9lMm9Eb2MueG1sUEsFBgAAAAAG&#10;AAYAWQEAAL4FAAAAAA==&#10;">
                <v:fill on="t" focussize="0,0"/>
                <v:stroke color="#000000" joinstyle="miter"/>
                <v:imagedata o:title=""/>
                <o:lock v:ext="edit" aspectratio="f"/>
                <v:textbox>
                  <w:txbxContent>
                    <w:p w14:paraId="7A8FA304">
                      <w:pPr>
                        <w:jc w:val="center"/>
                      </w:pPr>
                      <w:r>
                        <w:rPr>
                          <w:rFonts w:hint="eastAsia" w:ascii="仿宋" w:hAnsi="仿宋" w:eastAsia="仿宋" w:cs="仿宋"/>
                        </w:rPr>
                        <w:t>资源与能源</w:t>
                      </w:r>
                    </w:p>
                  </w:txbxContent>
                </v:textbox>
              </v:shape>
            </w:pict>
          </mc:Fallback>
        </mc:AlternateContent>
      </w:r>
      <w:r>
        <w:rPr>
          <w:rFonts w:hint="eastAsia" w:ascii="宋体" w:hAnsi="宋体" w:eastAsia="宋体" w:cs="宋体"/>
          <w:sz w:val="28"/>
        </w:rPr>
        <mc:AlternateContent>
          <mc:Choice Requires="wps">
            <w:drawing>
              <wp:anchor distT="0" distB="0" distL="114300" distR="114300" simplePos="0" relativeHeight="251662336" behindDoc="0" locked="0" layoutInCell="1" allowOverlap="1">
                <wp:simplePos x="0" y="0"/>
                <wp:positionH relativeFrom="column">
                  <wp:posOffset>1421765</wp:posOffset>
                </wp:positionH>
                <wp:positionV relativeFrom="paragraph">
                  <wp:posOffset>540385</wp:posOffset>
                </wp:positionV>
                <wp:extent cx="864235" cy="635"/>
                <wp:effectExtent l="0" t="76200" r="12700" b="113665"/>
                <wp:wrapNone/>
                <wp:docPr id="22" name="直线 42"/>
                <wp:cNvGraphicFramePr/>
                <a:graphic xmlns:a="http://schemas.openxmlformats.org/drawingml/2006/main">
                  <a:graphicData uri="http://schemas.microsoft.com/office/word/2010/wordprocessingShape">
                    <wps:wsp>
                      <wps:cNvCnPr/>
                      <wps:spPr>
                        <a:xfrm>
                          <a:off x="0" y="0"/>
                          <a:ext cx="864000" cy="635"/>
                        </a:xfrm>
                        <a:prstGeom prst="line">
                          <a:avLst/>
                        </a:prstGeom>
                        <a:ln w="9525" cap="flat" cmpd="sng">
                          <a:solidFill>
                            <a:srgbClr val="000000"/>
                          </a:solidFill>
                          <a:prstDash val="solid"/>
                          <a:headEnd type="none" w="med" len="med"/>
                          <a:tailEnd type="arrow" w="med" len="med"/>
                        </a:ln>
                      </wps:spPr>
                      <wps:bodyPr/>
                    </wps:wsp>
                  </a:graphicData>
                </a:graphic>
              </wp:anchor>
            </w:drawing>
          </mc:Choice>
          <mc:Fallback>
            <w:pict>
              <v:line id="直线 42" o:spid="_x0000_s1026" o:spt="20" style="position:absolute;left:0pt;margin-left:111.95pt;margin-top:42.55pt;height:0.05pt;width:68.05pt;z-index:251662336;mso-width-relative:page;mso-height-relative:page;" filled="f" stroked="t" coordsize="21600,21600" o:gfxdata="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OtlL7vZ&#10;AAAACQEAAA8AAAAAAAAAAQAgAAAAIgAAAGRycy9kb3ducmV2LnhtbFBLAQIUABQAAAAIAIdO4kCK&#10;Mr8x5gEAANMDAAAOAAAAAAAAAAEAIAAAACgBAABkcnMvZTJvRG9jLnhtbFBLBQYAAAAABgAGAFkB&#10;AACABQAAAAA=&#10;">
                <v:fill on="f" focussize="0,0"/>
                <v:stroke color="#000000" joinstyle="round" endarrow="open"/>
                <v:imagedata o:title=""/>
                <o:lock v:ext="edit" aspectratio="f"/>
              </v:line>
            </w:pict>
          </mc:Fallback>
        </mc:AlternateContent>
      </w:r>
    </w:p>
    <w:p w14:paraId="058CBB28">
      <w:pPr>
        <w:spacing w:line="360" w:lineRule="auto"/>
        <w:ind w:firstLine="480" w:firstLineChars="200"/>
        <w:jc w:val="left"/>
        <w:rPr>
          <w:rFonts w:hint="eastAsia" w:ascii="宋体" w:hAnsi="宋体" w:eastAsia="宋体" w:cs="宋体"/>
          <w:sz w:val="24"/>
        </w:rPr>
      </w:pPr>
    </w:p>
    <w:p w14:paraId="36F22512">
      <w:pPr>
        <w:spacing w:line="360" w:lineRule="auto"/>
        <w:ind w:firstLine="560" w:firstLineChars="200"/>
        <w:jc w:val="left"/>
        <w:rPr>
          <w:rFonts w:hint="eastAsia" w:ascii="宋体" w:hAnsi="宋体" w:eastAsia="宋体" w:cs="宋体"/>
          <w:sz w:val="24"/>
        </w:rPr>
      </w:pPr>
      <w:r>
        <w:rPr>
          <w:rFonts w:hint="eastAsia" w:ascii="宋体" w:hAnsi="宋体" w:eastAsia="宋体" w:cs="宋体"/>
          <w:sz w:val="28"/>
        </w:rPr>
        <mc:AlternateContent>
          <mc:Choice Requires="wps">
            <w:drawing>
              <wp:anchor distT="0" distB="0" distL="114300" distR="114300" simplePos="0" relativeHeight="251659264" behindDoc="0" locked="0" layoutInCell="1" allowOverlap="1">
                <wp:simplePos x="0" y="0"/>
                <wp:positionH relativeFrom="margin">
                  <wp:posOffset>1577340</wp:posOffset>
                </wp:positionH>
                <wp:positionV relativeFrom="paragraph">
                  <wp:posOffset>219710</wp:posOffset>
                </wp:positionV>
                <wp:extent cx="2343150" cy="288290"/>
                <wp:effectExtent l="0" t="0" r="19050" b="17145"/>
                <wp:wrapNone/>
                <wp:docPr id="2" name="文本框 3"/>
                <wp:cNvGraphicFramePr/>
                <a:graphic xmlns:a="http://schemas.openxmlformats.org/drawingml/2006/main">
                  <a:graphicData uri="http://schemas.microsoft.com/office/word/2010/wordprocessingShape">
                    <wps:wsp>
                      <wps:cNvSpPr txBox="1"/>
                      <wps:spPr>
                        <a:xfrm>
                          <a:off x="0" y="0"/>
                          <a:ext cx="2343150" cy="288000"/>
                        </a:xfrm>
                        <a:prstGeom prst="rect">
                          <a:avLst/>
                        </a:prstGeom>
                        <a:solidFill>
                          <a:srgbClr val="D9D9D9"/>
                        </a:solidFill>
                        <a:ln w="9525" cap="flat" cmpd="sng">
                          <a:solidFill>
                            <a:srgbClr val="FFFFFF"/>
                          </a:solidFill>
                          <a:prstDash val="solid"/>
                          <a:miter/>
                          <a:headEnd type="none" w="med" len="med"/>
                          <a:tailEnd type="none" w="med" len="med"/>
                        </a:ln>
                      </wps:spPr>
                      <wps:txbx>
                        <w:txbxContent>
                          <w:p w14:paraId="3FAD1A28">
                            <w:pPr>
                              <w:jc w:val="center"/>
                            </w:pPr>
                            <w:r>
                              <w:rPr>
                                <w:rFonts w:hint="eastAsia"/>
                              </w:rPr>
                              <w:t>制造阶段</w:t>
                            </w:r>
                          </w:p>
                        </w:txbxContent>
                      </wps:txbx>
                      <wps:bodyPr wrap="square" upright="1">
                        <a:noAutofit/>
                      </wps:bodyPr>
                    </wps:wsp>
                  </a:graphicData>
                </a:graphic>
              </wp:anchor>
            </w:drawing>
          </mc:Choice>
          <mc:Fallback>
            <w:pict>
              <v:shape id="文本框 3" o:spid="_x0000_s1026" o:spt="202" type="#_x0000_t202" style="position:absolute;left:0pt;margin-left:124.2pt;margin-top:17.3pt;height:22.7pt;width:184.5pt;mso-position-horizontal-relative:margin;z-index:251659264;mso-width-relative:page;mso-height-relative:page;" fillcolor="#D9D9D9" filled="t" stroked="t" coordsize="21600,21600" o:gfxdata="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4bDv7V&#10;AAAACQEAAA8AAAAAAAAAAQAgAAAAIgAAAGRycy9kb3ducmV2LnhtbFBLAQIUABQAAAAIAIdO4kC9&#10;9QCZIwIAAF4EAAAOAAAAAAAAAAEAIAAAACQBAABkcnMvZTJvRG9jLnhtbFBLBQYAAAAABgAGAFkB&#10;AAC5BQAAAAA=&#10;">
                <v:fill on="t" focussize="0,0"/>
                <v:stroke color="#FFFFFF" joinstyle="miter"/>
                <v:imagedata o:title=""/>
                <o:lock v:ext="edit" aspectratio="f"/>
                <v:textbox>
                  <w:txbxContent>
                    <w:p w14:paraId="3FAD1A28">
                      <w:pPr>
                        <w:jc w:val="center"/>
                      </w:pPr>
                      <w:r>
                        <w:rPr>
                          <w:rFonts w:hint="eastAsia"/>
                        </w:rPr>
                        <w:t>制造阶段</w:t>
                      </w:r>
                    </w:p>
                  </w:txbxContent>
                </v:textbox>
              </v:shape>
            </w:pict>
          </mc:Fallback>
        </mc:AlternateContent>
      </w:r>
    </w:p>
    <w:p w14:paraId="3EEDEC0D">
      <w:pPr>
        <w:spacing w:line="360" w:lineRule="auto"/>
        <w:ind w:firstLine="480" w:firstLineChars="200"/>
        <w:jc w:val="left"/>
        <w:rPr>
          <w:rFonts w:hint="eastAsia" w:ascii="宋体" w:hAnsi="宋体" w:eastAsia="宋体" w:cs="宋体"/>
          <w:sz w:val="24"/>
        </w:rPr>
      </w:pPr>
    </w:p>
    <w:p w14:paraId="690007ED">
      <w:pPr>
        <w:ind w:left="0" w:leftChars="0" w:right="0" w:rightChars="0" w:firstLine="0" w:firstLineChars="0"/>
        <w:jc w:val="center"/>
        <w:rPr>
          <w:rFonts w:hint="eastAsia" w:ascii="宋体" w:hAnsi="宋体" w:eastAsia="宋体" w:cs="宋体"/>
          <w:sz w:val="24"/>
        </w:rPr>
      </w:pPr>
      <w:r>
        <w:rPr>
          <w:rFonts w:hint="eastAsia" w:ascii="宋体" w:hAnsi="宋体" w:cs="宋体"/>
          <w:sz w:val="24"/>
          <w:szCs w:val="18"/>
          <w:lang w:val="en-US" w:eastAsia="zh-CN"/>
        </w:rPr>
        <w:t>图</w:t>
      </w:r>
      <w:r>
        <w:rPr>
          <w:rFonts w:hint="eastAsia" w:ascii="宋体" w:hAnsi="宋体" w:eastAsia="宋体" w:cs="宋体"/>
          <w:sz w:val="24"/>
          <w:szCs w:val="18"/>
        </w:rPr>
        <w:t>2.1 系统边界</w:t>
      </w:r>
    </w:p>
    <w:p w14:paraId="0B5980FD">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根据企业的实际情况，核查组在本次产品碳足迹核查过程中使用PAS2050作为评估标准，盘查边界为B2C（Business-to-Consumer）。本次盘查的系统边界为公司</w:t>
      </w:r>
      <w:r>
        <w:rPr>
          <w:rFonts w:hint="eastAsia" w:ascii="宋体" w:hAnsi="宋体" w:cs="宋体"/>
          <w:sz w:val="24"/>
          <w:lang w:val="en-US" w:eastAsia="zh-CN"/>
        </w:rPr>
        <w:t>模具</w:t>
      </w:r>
      <w:r>
        <w:rPr>
          <w:rFonts w:hint="eastAsia" w:ascii="宋体" w:hAnsi="宋体" w:eastAsia="宋体" w:cs="宋体"/>
          <w:sz w:val="24"/>
        </w:rPr>
        <w:t>产品的制造过程，核查各步骤所产生的碳排放。为实现上述功能单位，产品</w:t>
      </w:r>
      <w:r>
        <w:rPr>
          <w:rFonts w:hint="eastAsia" w:ascii="宋体" w:hAnsi="宋体" w:eastAsia="宋体" w:cs="宋体"/>
          <w:sz w:val="24"/>
          <w:lang w:eastAsia="zh-Hans"/>
        </w:rPr>
        <w:t>生产</w:t>
      </w:r>
      <w:r>
        <w:rPr>
          <w:rFonts w:hint="eastAsia" w:ascii="宋体" w:hAnsi="宋体" w:eastAsia="宋体" w:cs="宋体"/>
          <w:sz w:val="24"/>
        </w:rPr>
        <w:t>的系统边界如上图。本报告排除以下情况的温室气体排放：</w:t>
      </w:r>
    </w:p>
    <w:p w14:paraId="7E224B87">
      <w:pPr>
        <w:numPr>
          <w:ilvl w:val="0"/>
          <w:numId w:val="1"/>
        </w:num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与人员相关活动温室气体排放量不计；</w:t>
      </w:r>
    </w:p>
    <w:p w14:paraId="77CAD402">
      <w:pPr>
        <w:numPr>
          <w:ilvl w:val="0"/>
          <w:numId w:val="1"/>
        </w:num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工厂、仓库、办公室等产生的排放量由于受地域、工厂排列等多方面因素的复杂影响，不计。</w:t>
      </w:r>
    </w:p>
    <w:p w14:paraId="234CBB6A">
      <w:pPr>
        <w:spacing w:line="360" w:lineRule="auto"/>
        <w:jc w:val="center"/>
        <w:rPr>
          <w:rFonts w:hint="eastAsia" w:ascii="宋体" w:hAnsi="宋体" w:eastAsia="宋体" w:cs="宋体"/>
          <w:sz w:val="24"/>
        </w:rPr>
      </w:pPr>
      <w:r>
        <w:rPr>
          <w:rFonts w:hint="eastAsia" w:ascii="宋体" w:hAnsi="宋体" w:eastAsia="宋体" w:cs="宋体"/>
          <w:sz w:val="24"/>
        </w:rPr>
        <w:t>表2.1包含和未包含在系统边界内的生产过程</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14:paraId="56DCBC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4261" w:type="dxa"/>
            <w:vAlign w:val="center"/>
          </w:tcPr>
          <w:p w14:paraId="05A7B901">
            <w:pPr>
              <w:jc w:val="center"/>
              <w:rPr>
                <w:rFonts w:hint="eastAsia" w:ascii="宋体" w:hAnsi="宋体" w:eastAsia="宋体" w:cs="宋体"/>
                <w:b/>
                <w:sz w:val="24"/>
              </w:rPr>
            </w:pPr>
            <w:r>
              <w:rPr>
                <w:rFonts w:hint="eastAsia" w:ascii="宋体" w:hAnsi="宋体" w:eastAsia="宋体" w:cs="宋体"/>
                <w:b/>
                <w:sz w:val="24"/>
              </w:rPr>
              <w:t>包含过程</w:t>
            </w:r>
          </w:p>
        </w:tc>
        <w:tc>
          <w:tcPr>
            <w:tcW w:w="4261" w:type="dxa"/>
            <w:vAlign w:val="center"/>
          </w:tcPr>
          <w:p w14:paraId="4247FC5F">
            <w:pPr>
              <w:jc w:val="center"/>
              <w:rPr>
                <w:rFonts w:hint="eastAsia" w:ascii="宋体" w:hAnsi="宋体" w:eastAsia="宋体" w:cs="宋体"/>
                <w:b/>
                <w:sz w:val="24"/>
              </w:rPr>
            </w:pPr>
            <w:r>
              <w:rPr>
                <w:rFonts w:hint="eastAsia" w:ascii="宋体" w:hAnsi="宋体" w:eastAsia="宋体" w:cs="宋体"/>
                <w:b/>
                <w:sz w:val="24"/>
              </w:rPr>
              <w:t>未包含过程</w:t>
            </w:r>
          </w:p>
        </w:tc>
      </w:tr>
      <w:tr w14:paraId="5714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Pr>
          <w:p w14:paraId="6CD6BA11">
            <w:pPr>
              <w:spacing w:line="360" w:lineRule="auto"/>
              <w:jc w:val="left"/>
              <w:rPr>
                <w:rFonts w:hint="eastAsia" w:ascii="宋体" w:hAnsi="宋体" w:eastAsia="宋体" w:cs="宋体"/>
                <w:sz w:val="24"/>
              </w:rPr>
            </w:pPr>
            <w:r>
              <w:rPr>
                <w:rFonts w:hint="eastAsia" w:ascii="宋体" w:hAnsi="宋体" w:eastAsia="宋体" w:cs="宋体"/>
                <w:sz w:val="24"/>
              </w:rPr>
              <w:t>·产品涉及的制造过程：原材料入库、产品生产、产品检验和包装。</w:t>
            </w:r>
          </w:p>
          <w:p w14:paraId="2692E5D6">
            <w:pPr>
              <w:spacing w:line="360" w:lineRule="auto"/>
              <w:jc w:val="left"/>
              <w:rPr>
                <w:rFonts w:hint="eastAsia" w:ascii="宋体" w:hAnsi="宋体" w:eastAsia="宋体" w:cs="宋体"/>
                <w:sz w:val="24"/>
              </w:rPr>
            </w:pPr>
            <w:r>
              <w:rPr>
                <w:rFonts w:hint="eastAsia" w:ascii="宋体" w:hAnsi="宋体" w:eastAsia="宋体" w:cs="宋体"/>
                <w:sz w:val="24"/>
              </w:rPr>
              <w:t>·辅助生产过程：人员办公、仓储过程产生的能源消耗.</w:t>
            </w:r>
          </w:p>
        </w:tc>
        <w:tc>
          <w:tcPr>
            <w:tcW w:w="4261" w:type="dxa"/>
          </w:tcPr>
          <w:p w14:paraId="6B172DEA">
            <w:pPr>
              <w:spacing w:line="360" w:lineRule="auto"/>
              <w:jc w:val="left"/>
              <w:rPr>
                <w:rFonts w:hint="eastAsia" w:ascii="宋体" w:hAnsi="宋体" w:eastAsia="宋体" w:cs="宋体"/>
                <w:sz w:val="24"/>
              </w:rPr>
            </w:pPr>
            <w:r>
              <w:rPr>
                <w:rFonts w:hint="eastAsia" w:ascii="宋体" w:hAnsi="宋体" w:eastAsia="宋体" w:cs="宋体"/>
                <w:sz w:val="24"/>
              </w:rPr>
              <w:t>·资本设备的生产及维修</w:t>
            </w:r>
          </w:p>
          <w:p w14:paraId="11DB317B">
            <w:pPr>
              <w:spacing w:line="360" w:lineRule="auto"/>
              <w:jc w:val="left"/>
              <w:rPr>
                <w:rFonts w:hint="eastAsia" w:ascii="宋体" w:hAnsi="宋体" w:eastAsia="宋体" w:cs="宋体"/>
                <w:sz w:val="24"/>
              </w:rPr>
            </w:pPr>
            <w:r>
              <w:rPr>
                <w:rFonts w:hint="eastAsia" w:ascii="宋体" w:hAnsi="宋体" w:eastAsia="宋体" w:cs="宋体"/>
                <w:sz w:val="24"/>
              </w:rPr>
              <w:t>·产品的</w:t>
            </w:r>
            <w:r>
              <w:rPr>
                <w:rFonts w:hint="eastAsia" w:ascii="宋体" w:hAnsi="宋体" w:eastAsia="宋体" w:cs="宋体"/>
                <w:sz w:val="24"/>
                <w:lang w:eastAsia="zh-Hans"/>
              </w:rPr>
              <w:t>厂外</w:t>
            </w:r>
            <w:r>
              <w:rPr>
                <w:rFonts w:hint="eastAsia" w:ascii="宋体" w:hAnsi="宋体" w:eastAsia="宋体" w:cs="宋体"/>
                <w:sz w:val="24"/>
              </w:rPr>
              <w:t>运输、销售和使用</w:t>
            </w:r>
          </w:p>
          <w:p w14:paraId="6503596E">
            <w:pPr>
              <w:spacing w:line="360" w:lineRule="auto"/>
              <w:jc w:val="left"/>
              <w:rPr>
                <w:rFonts w:hint="eastAsia" w:ascii="宋体" w:hAnsi="宋体" w:eastAsia="宋体" w:cs="宋体"/>
                <w:sz w:val="24"/>
              </w:rPr>
            </w:pPr>
            <w:r>
              <w:rPr>
                <w:rFonts w:hint="eastAsia" w:ascii="宋体" w:hAnsi="宋体" w:eastAsia="宋体" w:cs="宋体"/>
                <w:sz w:val="24"/>
              </w:rPr>
              <w:t>·产品回收和处置阶段</w:t>
            </w:r>
          </w:p>
          <w:p w14:paraId="7A688884">
            <w:pPr>
              <w:spacing w:line="360" w:lineRule="auto"/>
              <w:jc w:val="left"/>
              <w:rPr>
                <w:rFonts w:hint="eastAsia" w:ascii="宋体" w:hAnsi="宋体" w:eastAsia="宋体" w:cs="宋体"/>
                <w:sz w:val="24"/>
                <w:lang w:val="en-US" w:eastAsia="zh-CN"/>
              </w:rPr>
            </w:pPr>
            <w:r>
              <w:rPr>
                <w:rFonts w:hint="eastAsia" w:ascii="宋体" w:hAnsi="宋体" w:eastAsia="宋体" w:cs="宋体"/>
                <w:sz w:val="24"/>
              </w:rPr>
              <w:t>·</w:t>
            </w:r>
            <w:r>
              <w:rPr>
                <w:rFonts w:hint="eastAsia" w:ascii="宋体" w:hAnsi="宋体" w:eastAsia="宋体" w:cs="宋体"/>
                <w:sz w:val="24"/>
                <w:lang w:val="en-US" w:eastAsia="zh-CN"/>
              </w:rPr>
              <w:t>原料及辅料的生产</w:t>
            </w:r>
          </w:p>
        </w:tc>
      </w:tr>
    </w:tbl>
    <w:p w14:paraId="15E263AB">
      <w:pPr>
        <w:tabs>
          <w:tab w:val="left" w:pos="312"/>
        </w:tabs>
        <w:jc w:val="left"/>
        <w:rPr>
          <w:rFonts w:hint="eastAsia" w:ascii="宋体" w:hAnsi="宋体" w:eastAsia="宋体" w:cs="宋体"/>
          <w:b/>
          <w:bCs/>
          <w:sz w:val="28"/>
        </w:rPr>
      </w:pPr>
      <w:r>
        <w:rPr>
          <w:rFonts w:hint="eastAsia" w:ascii="宋体" w:hAnsi="宋体" w:eastAsia="宋体" w:cs="宋体"/>
          <w:b/>
          <w:bCs/>
          <w:sz w:val="28"/>
        </w:rPr>
        <w:br w:type="page"/>
      </w:r>
    </w:p>
    <w:p w14:paraId="4BEE05EC">
      <w:pPr>
        <w:tabs>
          <w:tab w:val="left" w:pos="312"/>
        </w:tabs>
        <w:jc w:val="left"/>
        <w:rPr>
          <w:rFonts w:hint="eastAsia" w:ascii="宋体" w:hAnsi="宋体" w:eastAsia="宋体" w:cs="宋体"/>
          <w:b/>
          <w:bCs/>
          <w:sz w:val="28"/>
        </w:rPr>
      </w:pPr>
      <w:r>
        <w:rPr>
          <w:rFonts w:hint="eastAsia" w:ascii="宋体" w:hAnsi="宋体" w:eastAsia="宋体" w:cs="宋体"/>
          <w:b/>
          <w:bCs/>
          <w:sz w:val="28"/>
        </w:rPr>
        <w:t>3.数据收集</w:t>
      </w:r>
    </w:p>
    <w:p w14:paraId="35DFF1DC">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根据PAS 2050: 2011标准的要求，核查组组建了碳足迹盘查工作组对</w:t>
      </w:r>
      <w:r>
        <w:rPr>
          <w:rFonts w:hint="eastAsia" w:ascii="宋体" w:hAnsi="宋体" w:cs="宋体"/>
          <w:sz w:val="24"/>
          <w:lang w:eastAsia="zh-CN"/>
        </w:rPr>
        <w:t>深圳市安高模具有限公司</w:t>
      </w:r>
      <w:r>
        <w:rPr>
          <w:rFonts w:hint="eastAsia" w:ascii="宋体" w:hAnsi="宋体" w:eastAsia="宋体" w:cs="宋体"/>
          <w:sz w:val="24"/>
        </w:rPr>
        <w:t>的</w:t>
      </w:r>
      <w:r>
        <w:rPr>
          <w:rFonts w:hint="eastAsia" w:ascii="宋体" w:hAnsi="宋体" w:cs="宋体"/>
          <w:sz w:val="24"/>
          <w:lang w:val="en-US" w:eastAsia="zh-CN"/>
        </w:rPr>
        <w:t>模具</w:t>
      </w:r>
      <w:r>
        <w:rPr>
          <w:rFonts w:hint="eastAsia" w:ascii="宋体" w:hAnsi="宋体" w:eastAsia="宋体" w:cs="宋体"/>
          <w:sz w:val="24"/>
        </w:rPr>
        <w:t>产品的碳足迹进行盘查。工作组对产品碳足迹盘查工作先进行前期准备，然后确定工作方案和范围、并通过查阅文件、现场访问和电话沟通等过程完成本次温室气体排放盘查工作。前期准备工作主要包括：了解产品基本情况、生产工艺流程及原材料供应商等信息；并调研和收集部分原始数据，主要包括：企业的生产报表、财务数据等，以保证数据的完整性和准确性，并在后期报告编制阶段，大量查阅数据库、文献报告以及成熟可用的LCA软件去获取排放因子。</w:t>
      </w:r>
    </w:p>
    <w:p w14:paraId="3B969754">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3.1初级活动水平数据</w:t>
      </w:r>
    </w:p>
    <w:p w14:paraId="6DC7D527">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PAS2050：2011标准的要求，初级活动水平数据应用于所有过程和材料，即产生碳足迹的组织所拥有、所经营或所控制的过程和材料。本报告初级活动水平数据包括产品生命周期系统中所有能源与物料的耗用（物料输入与输出、能源消耗等）。这些数据是从企业或其供应商处收集和测量获得，能真实地反映了整个生产过程能源和物料的输入，以及产品／中间产品和废物的输出。</w:t>
      </w:r>
    </w:p>
    <w:p w14:paraId="4152358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3.2次级活动水平数据</w:t>
      </w:r>
    </w:p>
    <w:p w14:paraId="43F8C2F1">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根据PAS2050：2011标准的要求，凡无法获得初级活动水平数据或初级活动水平数据质量有问题（例如没有响应的测量仪表）时，有必要使用直接测量以外其他来源的次级数据。本报告中次级活动数据主要来源数据库和文献资料中的数据。</w:t>
      </w:r>
    </w:p>
    <w:p w14:paraId="20C3A97B">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产品碳足迹计算采用的各项数据的类别与来源如下表2.</w:t>
      </w:r>
    </w:p>
    <w:p w14:paraId="5B17EC4D">
      <w:pPr>
        <w:spacing w:line="360" w:lineRule="auto"/>
        <w:jc w:val="center"/>
        <w:rPr>
          <w:rFonts w:hint="eastAsia" w:ascii="宋体" w:hAnsi="宋体" w:eastAsia="宋体" w:cs="宋体"/>
          <w:sz w:val="24"/>
        </w:rPr>
      </w:pPr>
      <w:r>
        <w:rPr>
          <w:rFonts w:hint="eastAsia" w:ascii="宋体" w:hAnsi="宋体" w:eastAsia="宋体" w:cs="宋体"/>
          <w:sz w:val="24"/>
        </w:rPr>
        <w:t>表2 碳足迹盘查数据类别与来源</w:t>
      </w:r>
    </w:p>
    <w:tbl>
      <w:tblPr>
        <w:tblStyle w:val="11"/>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11"/>
        <w:gridCol w:w="1425"/>
        <w:gridCol w:w="2415"/>
        <w:gridCol w:w="2671"/>
      </w:tblGrid>
      <w:tr w14:paraId="6E0A15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851" w:type="dxa"/>
            <w:gridSpan w:val="3"/>
            <w:vAlign w:val="center"/>
          </w:tcPr>
          <w:p w14:paraId="2F2CF4A5">
            <w:pPr>
              <w:spacing w:line="360" w:lineRule="auto"/>
              <w:jc w:val="center"/>
              <w:rPr>
                <w:rFonts w:hint="eastAsia" w:ascii="宋体" w:hAnsi="宋体" w:eastAsia="宋体" w:cs="宋体"/>
                <w:sz w:val="24"/>
              </w:rPr>
            </w:pPr>
            <w:r>
              <w:rPr>
                <w:rFonts w:hint="eastAsia" w:ascii="宋体" w:hAnsi="宋体" w:eastAsia="宋体" w:cs="宋体"/>
                <w:sz w:val="24"/>
              </w:rPr>
              <w:t>数据类别</w:t>
            </w:r>
          </w:p>
        </w:tc>
        <w:tc>
          <w:tcPr>
            <w:tcW w:w="2671" w:type="dxa"/>
            <w:vAlign w:val="center"/>
          </w:tcPr>
          <w:p w14:paraId="1B38A348">
            <w:pPr>
              <w:spacing w:line="360" w:lineRule="auto"/>
              <w:jc w:val="center"/>
              <w:rPr>
                <w:rFonts w:hint="eastAsia" w:ascii="宋体" w:hAnsi="宋体" w:eastAsia="宋体" w:cs="宋体"/>
                <w:sz w:val="24"/>
              </w:rPr>
            </w:pPr>
            <w:r>
              <w:rPr>
                <w:rFonts w:hint="eastAsia" w:ascii="宋体" w:hAnsi="宋体" w:eastAsia="宋体" w:cs="宋体"/>
                <w:sz w:val="24"/>
              </w:rPr>
              <w:t>活动数据来源</w:t>
            </w:r>
          </w:p>
        </w:tc>
      </w:tr>
      <w:tr w14:paraId="7818F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2635E221">
            <w:pPr>
              <w:spacing w:line="360" w:lineRule="auto"/>
              <w:jc w:val="center"/>
              <w:rPr>
                <w:rFonts w:hint="eastAsia" w:ascii="宋体" w:hAnsi="宋体" w:eastAsia="宋体" w:cs="宋体"/>
                <w:sz w:val="24"/>
              </w:rPr>
            </w:pPr>
            <w:r>
              <w:rPr>
                <w:rFonts w:hint="eastAsia" w:ascii="宋体" w:hAnsi="宋体" w:eastAsia="宋体" w:cs="宋体"/>
                <w:sz w:val="24"/>
              </w:rPr>
              <w:t>初级活动数据</w:t>
            </w:r>
          </w:p>
        </w:tc>
        <w:tc>
          <w:tcPr>
            <w:tcW w:w="1425" w:type="dxa"/>
            <w:vAlign w:val="center"/>
          </w:tcPr>
          <w:p w14:paraId="5803C9A6">
            <w:pPr>
              <w:spacing w:line="360" w:lineRule="auto"/>
              <w:jc w:val="center"/>
              <w:rPr>
                <w:rFonts w:hint="eastAsia" w:ascii="宋体" w:hAnsi="宋体" w:eastAsia="宋体" w:cs="宋体"/>
                <w:sz w:val="24"/>
              </w:rPr>
            </w:pPr>
            <w:r>
              <w:rPr>
                <w:rFonts w:hint="eastAsia" w:ascii="宋体" w:hAnsi="宋体" w:eastAsia="宋体" w:cs="宋体"/>
                <w:sz w:val="24"/>
              </w:rPr>
              <w:t>输入</w:t>
            </w:r>
          </w:p>
        </w:tc>
        <w:tc>
          <w:tcPr>
            <w:tcW w:w="2415" w:type="dxa"/>
            <w:vAlign w:val="center"/>
          </w:tcPr>
          <w:p w14:paraId="45C07596">
            <w:pPr>
              <w:spacing w:line="360" w:lineRule="auto"/>
              <w:jc w:val="center"/>
              <w:rPr>
                <w:rFonts w:hint="eastAsia" w:ascii="宋体" w:hAnsi="宋体" w:eastAsia="宋体" w:cs="宋体"/>
                <w:sz w:val="24"/>
              </w:rPr>
            </w:pPr>
            <w:r>
              <w:rPr>
                <w:rFonts w:hint="eastAsia" w:ascii="宋体" w:hAnsi="宋体" w:cs="宋体"/>
                <w:sz w:val="24"/>
                <w:lang w:val="en-US" w:eastAsia="zh-CN"/>
              </w:rPr>
              <w:t>原材料</w:t>
            </w:r>
            <w:r>
              <w:rPr>
                <w:rFonts w:hint="eastAsia" w:ascii="宋体" w:hAnsi="宋体" w:eastAsia="宋体" w:cs="宋体"/>
                <w:sz w:val="24"/>
              </w:rPr>
              <w:t>消耗量</w:t>
            </w:r>
          </w:p>
        </w:tc>
        <w:tc>
          <w:tcPr>
            <w:tcW w:w="2671" w:type="dxa"/>
            <w:vAlign w:val="center"/>
          </w:tcPr>
          <w:p w14:paraId="7BB39DE6">
            <w:pPr>
              <w:spacing w:line="360" w:lineRule="auto"/>
              <w:jc w:val="center"/>
              <w:rPr>
                <w:rFonts w:hint="eastAsia" w:ascii="宋体" w:hAnsi="宋体" w:eastAsia="宋体" w:cs="宋体"/>
                <w:sz w:val="24"/>
              </w:rPr>
            </w:pPr>
            <w:r>
              <w:rPr>
                <w:rFonts w:hint="eastAsia" w:ascii="宋体" w:hAnsi="宋体" w:eastAsia="宋体" w:cs="宋体"/>
                <w:sz w:val="24"/>
              </w:rPr>
              <w:t>企业生产报表</w:t>
            </w:r>
          </w:p>
        </w:tc>
      </w:tr>
      <w:tr w14:paraId="6F4BB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72362D9F">
            <w:pPr>
              <w:spacing w:line="360" w:lineRule="auto"/>
              <w:jc w:val="center"/>
              <w:rPr>
                <w:rFonts w:hint="eastAsia" w:ascii="宋体" w:hAnsi="宋体" w:eastAsia="宋体" w:cs="宋体"/>
                <w:sz w:val="24"/>
              </w:rPr>
            </w:pPr>
          </w:p>
        </w:tc>
        <w:tc>
          <w:tcPr>
            <w:tcW w:w="1425" w:type="dxa"/>
            <w:vAlign w:val="center"/>
          </w:tcPr>
          <w:p w14:paraId="3624A8F8">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能源</w:t>
            </w:r>
          </w:p>
        </w:tc>
        <w:tc>
          <w:tcPr>
            <w:tcW w:w="2415" w:type="dxa"/>
            <w:vAlign w:val="center"/>
          </w:tcPr>
          <w:p w14:paraId="4E198278">
            <w:pPr>
              <w:spacing w:line="360" w:lineRule="auto"/>
              <w:jc w:val="center"/>
              <w:rPr>
                <w:rFonts w:hint="eastAsia" w:ascii="宋体" w:hAnsi="宋体" w:eastAsia="宋体" w:cs="宋体"/>
                <w:sz w:val="24"/>
              </w:rPr>
            </w:pPr>
            <w:r>
              <w:rPr>
                <w:rFonts w:hint="eastAsia" w:ascii="宋体" w:hAnsi="宋体" w:eastAsia="宋体" w:cs="宋体"/>
                <w:sz w:val="24"/>
              </w:rPr>
              <w:t>电</w:t>
            </w:r>
          </w:p>
        </w:tc>
        <w:tc>
          <w:tcPr>
            <w:tcW w:w="2671" w:type="dxa"/>
            <w:vAlign w:val="center"/>
          </w:tcPr>
          <w:p w14:paraId="3FD04762">
            <w:pPr>
              <w:spacing w:line="360" w:lineRule="auto"/>
              <w:jc w:val="center"/>
              <w:rPr>
                <w:rFonts w:hint="eastAsia" w:ascii="宋体" w:hAnsi="宋体" w:eastAsia="宋体" w:cs="宋体"/>
                <w:sz w:val="24"/>
              </w:rPr>
            </w:pPr>
            <w:r>
              <w:rPr>
                <w:rFonts w:hint="eastAsia" w:ascii="宋体" w:hAnsi="宋体" w:eastAsia="宋体" w:cs="宋体"/>
                <w:sz w:val="24"/>
              </w:rPr>
              <w:t>企业生产报表</w:t>
            </w:r>
          </w:p>
        </w:tc>
      </w:tr>
      <w:tr w14:paraId="40482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restart"/>
            <w:vAlign w:val="center"/>
          </w:tcPr>
          <w:p w14:paraId="119ECD29">
            <w:pPr>
              <w:spacing w:line="360" w:lineRule="auto"/>
              <w:jc w:val="center"/>
              <w:rPr>
                <w:rFonts w:hint="eastAsia" w:ascii="宋体" w:hAnsi="宋体" w:eastAsia="宋体" w:cs="宋体"/>
                <w:sz w:val="24"/>
              </w:rPr>
            </w:pPr>
            <w:r>
              <w:rPr>
                <w:rFonts w:hint="eastAsia" w:ascii="宋体" w:hAnsi="宋体" w:eastAsia="宋体" w:cs="宋体"/>
                <w:sz w:val="24"/>
              </w:rPr>
              <w:t>次级活动数据</w:t>
            </w:r>
          </w:p>
        </w:tc>
        <w:tc>
          <w:tcPr>
            <w:tcW w:w="1425" w:type="dxa"/>
            <w:vAlign w:val="center"/>
          </w:tcPr>
          <w:p w14:paraId="43DF88FD">
            <w:pPr>
              <w:spacing w:line="360" w:lineRule="auto"/>
              <w:jc w:val="center"/>
              <w:rPr>
                <w:rFonts w:hint="eastAsia"/>
                <w:lang w:eastAsia="zh-CN"/>
              </w:rPr>
            </w:pPr>
            <w:r>
              <w:rPr>
                <w:rFonts w:hint="eastAsia" w:ascii="宋体" w:hAnsi="宋体" w:cs="宋体"/>
                <w:sz w:val="24"/>
                <w:lang w:val="en-US" w:eastAsia="zh-CN"/>
              </w:rPr>
              <w:t>运输</w:t>
            </w:r>
          </w:p>
        </w:tc>
        <w:tc>
          <w:tcPr>
            <w:tcW w:w="2415" w:type="dxa"/>
            <w:vAlign w:val="center"/>
          </w:tcPr>
          <w:p w14:paraId="70F60EE9">
            <w:pPr>
              <w:spacing w:line="360" w:lineRule="auto"/>
              <w:jc w:val="center"/>
              <w:rPr>
                <w:rFonts w:hint="eastAsia" w:ascii="宋体" w:hAnsi="宋体" w:eastAsia="宋体" w:cs="宋体"/>
                <w:sz w:val="24"/>
              </w:rPr>
            </w:pPr>
            <w:r>
              <w:rPr>
                <w:rFonts w:hint="eastAsia" w:ascii="宋体" w:hAnsi="宋体" w:cs="宋体"/>
                <w:sz w:val="24"/>
                <w:lang w:val="en-US" w:eastAsia="zh-CN"/>
              </w:rPr>
              <w:t>原材料</w:t>
            </w:r>
            <w:r>
              <w:rPr>
                <w:rFonts w:hint="eastAsia" w:ascii="宋体" w:hAnsi="宋体" w:eastAsia="宋体" w:cs="宋体"/>
                <w:sz w:val="24"/>
              </w:rPr>
              <w:t>运输距离</w:t>
            </w:r>
          </w:p>
        </w:tc>
        <w:tc>
          <w:tcPr>
            <w:tcW w:w="2671" w:type="dxa"/>
            <w:vAlign w:val="center"/>
          </w:tcPr>
          <w:p w14:paraId="76CA4804">
            <w:pPr>
              <w:spacing w:line="360" w:lineRule="auto"/>
              <w:jc w:val="center"/>
              <w:rPr>
                <w:rFonts w:hint="eastAsia" w:ascii="宋体" w:hAnsi="宋体" w:eastAsia="宋体" w:cs="宋体"/>
                <w:sz w:val="24"/>
              </w:rPr>
            </w:pPr>
            <w:r>
              <w:rPr>
                <w:rFonts w:hint="eastAsia" w:ascii="宋体" w:hAnsi="宋体" w:eastAsia="宋体" w:cs="宋体"/>
                <w:sz w:val="24"/>
              </w:rPr>
              <w:t>根据厂商地址估算</w:t>
            </w:r>
          </w:p>
        </w:tc>
      </w:tr>
      <w:tr w14:paraId="49AD1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11" w:type="dxa"/>
            <w:vMerge w:val="continue"/>
            <w:vAlign w:val="center"/>
          </w:tcPr>
          <w:p w14:paraId="02673919">
            <w:pPr>
              <w:spacing w:line="360" w:lineRule="auto"/>
              <w:jc w:val="center"/>
              <w:rPr>
                <w:rFonts w:hint="eastAsia" w:ascii="宋体" w:hAnsi="宋体" w:eastAsia="宋体" w:cs="宋体"/>
                <w:sz w:val="24"/>
              </w:rPr>
            </w:pPr>
          </w:p>
        </w:tc>
        <w:tc>
          <w:tcPr>
            <w:tcW w:w="1425" w:type="dxa"/>
            <w:vAlign w:val="center"/>
          </w:tcPr>
          <w:p w14:paraId="15CE376F">
            <w:pPr>
              <w:spacing w:line="360" w:lineRule="auto"/>
              <w:jc w:val="center"/>
              <w:rPr>
                <w:rFonts w:hint="default" w:ascii="宋体" w:hAnsi="宋体" w:eastAsia="宋体" w:cs="宋体"/>
                <w:sz w:val="24"/>
                <w:lang w:val="en-US" w:eastAsia="zh-CN"/>
              </w:rPr>
            </w:pPr>
            <w:r>
              <w:rPr>
                <w:rFonts w:hint="eastAsia" w:ascii="宋体" w:hAnsi="宋体" w:cs="宋体"/>
                <w:sz w:val="24"/>
                <w:lang w:val="en-US" w:eastAsia="zh-CN"/>
              </w:rPr>
              <w:t>排放因子</w:t>
            </w:r>
          </w:p>
        </w:tc>
        <w:tc>
          <w:tcPr>
            <w:tcW w:w="2415" w:type="dxa"/>
            <w:vAlign w:val="center"/>
          </w:tcPr>
          <w:p w14:paraId="5CBC5466">
            <w:pPr>
              <w:spacing w:line="360" w:lineRule="auto"/>
              <w:jc w:val="center"/>
              <w:rPr>
                <w:rFonts w:hint="eastAsia" w:ascii="宋体" w:hAnsi="宋体" w:eastAsia="宋体" w:cs="宋体"/>
                <w:sz w:val="24"/>
              </w:rPr>
            </w:pPr>
            <w:r>
              <w:rPr>
                <w:rFonts w:hint="eastAsia" w:ascii="宋体" w:hAnsi="宋体" w:cs="宋体"/>
                <w:sz w:val="24"/>
                <w:lang w:val="en-US" w:eastAsia="zh-CN"/>
              </w:rPr>
              <w:t>原材料</w:t>
            </w:r>
            <w:r>
              <w:rPr>
                <w:rFonts w:hint="eastAsia" w:ascii="宋体" w:hAnsi="宋体" w:eastAsia="宋体" w:cs="宋体"/>
                <w:sz w:val="24"/>
              </w:rPr>
              <w:t>制造</w:t>
            </w:r>
          </w:p>
        </w:tc>
        <w:tc>
          <w:tcPr>
            <w:tcW w:w="2671" w:type="dxa"/>
            <w:vAlign w:val="center"/>
          </w:tcPr>
          <w:p w14:paraId="2036E501">
            <w:pPr>
              <w:spacing w:line="360" w:lineRule="auto"/>
              <w:jc w:val="center"/>
              <w:rPr>
                <w:rFonts w:hint="eastAsia" w:ascii="宋体" w:hAnsi="宋体" w:eastAsia="宋体" w:cs="宋体"/>
                <w:sz w:val="24"/>
              </w:rPr>
            </w:pPr>
            <w:r>
              <w:rPr>
                <w:rFonts w:hint="eastAsia" w:ascii="宋体" w:hAnsi="宋体" w:eastAsia="宋体" w:cs="宋体"/>
                <w:sz w:val="24"/>
              </w:rPr>
              <w:t>数据库及文献资料</w:t>
            </w:r>
          </w:p>
        </w:tc>
      </w:tr>
    </w:tbl>
    <w:p w14:paraId="5331FA1E">
      <w:pPr>
        <w:tabs>
          <w:tab w:val="left" w:pos="312"/>
        </w:tabs>
        <w:rPr>
          <w:rFonts w:hint="eastAsia" w:ascii="宋体" w:hAnsi="宋体" w:eastAsia="宋体" w:cs="宋体"/>
          <w:b/>
          <w:bCs/>
          <w:sz w:val="28"/>
        </w:rPr>
      </w:pPr>
      <w:r>
        <w:rPr>
          <w:rFonts w:hint="eastAsia" w:ascii="宋体" w:hAnsi="宋体" w:eastAsia="宋体" w:cs="宋体"/>
          <w:b/>
          <w:bCs/>
          <w:sz w:val="28"/>
        </w:rPr>
        <w:br w:type="page"/>
      </w:r>
    </w:p>
    <w:p w14:paraId="4B7FB0C8">
      <w:pPr>
        <w:tabs>
          <w:tab w:val="left" w:pos="312"/>
        </w:tabs>
        <w:rPr>
          <w:rFonts w:hint="eastAsia" w:ascii="宋体" w:hAnsi="宋体" w:eastAsia="宋体" w:cs="宋体"/>
          <w:b/>
          <w:bCs/>
          <w:sz w:val="28"/>
        </w:rPr>
      </w:pPr>
      <w:r>
        <w:rPr>
          <w:rFonts w:hint="eastAsia" w:ascii="宋体" w:hAnsi="宋体" w:eastAsia="宋体" w:cs="宋体"/>
          <w:b/>
          <w:bCs/>
          <w:sz w:val="28"/>
        </w:rPr>
        <w:t>4.碳足迹计算</w:t>
      </w:r>
    </w:p>
    <w:p w14:paraId="4CA972E9">
      <w:pPr>
        <w:spacing w:line="360" w:lineRule="auto"/>
        <w:ind w:firstLine="480" w:firstLineChars="200"/>
        <w:rPr>
          <w:rFonts w:hint="eastAsia" w:ascii="宋体" w:hAnsi="宋体" w:eastAsia="宋体" w:cs="宋体"/>
          <w:sz w:val="24"/>
        </w:rPr>
      </w:pPr>
      <w:r>
        <w:rPr>
          <w:rFonts w:hint="eastAsia" w:ascii="宋体" w:hAnsi="宋体" w:eastAsia="宋体" w:cs="宋体"/>
          <w:sz w:val="24"/>
        </w:rPr>
        <w:t>产品碳足迹的公式是整个产品生命周期中所有活动的所有材料、能源和废物乘以其排放因子后再加和。其计算公式如下：</w:t>
      </w:r>
    </w:p>
    <w:p w14:paraId="1B8A7C5D">
      <w:pPr>
        <w:jc w:val="center"/>
        <w:rPr>
          <w:rFonts w:hint="eastAsia" w:ascii="宋体" w:hAnsi="宋体" w:eastAsia="宋体" w:cs="宋体"/>
          <w:sz w:val="18"/>
        </w:rPr>
      </w:pPr>
      <m:oMathPara>
        <m:oMath>
          <m:r>
            <m:rPr>
              <m:sty m:val="p"/>
            </m:rPr>
            <w:rPr>
              <w:rFonts w:hint="eastAsia" w:ascii="Cambria Math" w:hAnsi="Cambria Math" w:eastAsia="宋体" w:cs="宋体"/>
              <w:sz w:val="24"/>
            </w:rPr>
            <m:t>CF=</m:t>
          </m:r>
          <m:nary>
            <m:naryPr>
              <m:chr m:val="∑"/>
              <m:limLoc m:val="subSup"/>
              <m:ctrlPr>
                <w:rPr>
                  <w:rFonts w:hint="eastAsia" w:ascii="Cambria Math" w:hAnsi="Cambria Math" w:eastAsia="宋体" w:cs="宋体"/>
                  <w:sz w:val="24"/>
                </w:rPr>
              </m:ctrlPr>
            </m:naryPr>
            <m:sub>
              <m:r>
                <m:rPr/>
                <w:rPr>
                  <w:rFonts w:hint="eastAsia" w:ascii="Cambria Math" w:hAnsi="Cambria Math" w:eastAsia="宋体" w:cs="宋体"/>
                  <w:sz w:val="24"/>
                </w:rPr>
                <m:t>i=1,j=1</m:t>
              </m:r>
              <m:ctrlPr>
                <w:rPr>
                  <w:rFonts w:hint="eastAsia" w:ascii="Cambria Math" w:hAnsi="Cambria Math" w:eastAsia="宋体" w:cs="宋体"/>
                  <w:sz w:val="24"/>
                </w:rPr>
              </m:ctrlPr>
            </m:sub>
            <m:sup>
              <m:r>
                <m:rPr/>
                <w:rPr>
                  <w:rFonts w:hint="eastAsia" w:ascii="Cambria Math" w:hAnsi="Cambria Math" w:eastAsia="宋体" w:cs="宋体"/>
                  <w:sz w:val="24"/>
                </w:rPr>
                <m:t>n</m:t>
              </m:r>
              <m:ctrlPr>
                <w:rPr>
                  <w:rFonts w:hint="eastAsia" w:ascii="Cambria Math" w:hAnsi="Cambria Math" w:eastAsia="宋体" w:cs="宋体"/>
                  <w:sz w:val="24"/>
                </w:rPr>
              </m:ctrlPr>
            </m:sup>
            <m:e>
              <m:sSub>
                <m:sSubPr>
                  <m:ctrlPr>
                    <w:rPr>
                      <w:rFonts w:hint="eastAsia" w:ascii="Cambria Math" w:hAnsi="Cambria Math" w:eastAsia="宋体" w:cs="宋体"/>
                      <w:i/>
                      <w:sz w:val="24"/>
                    </w:rPr>
                  </m:ctrlPr>
                </m:sSubPr>
                <m:e>
                  <m:r>
                    <m:rPr/>
                    <w:rPr>
                      <w:rFonts w:hint="eastAsia" w:ascii="Cambria Math" w:hAnsi="Cambria Math" w:eastAsia="宋体" w:cs="宋体"/>
                      <w:sz w:val="24"/>
                    </w:rPr>
                    <m:t>P</m:t>
                  </m:r>
                  <m:ctrlPr>
                    <w:rPr>
                      <w:rFonts w:hint="eastAsia" w:ascii="Cambria Math" w:hAnsi="Cambria Math" w:eastAsia="宋体" w:cs="宋体"/>
                      <w:i/>
                      <w:sz w:val="24"/>
                    </w:rPr>
                  </m:ctrlPr>
                </m:e>
                <m:sub>
                  <m:r>
                    <m:rPr/>
                    <w:rPr>
                      <w:rFonts w:hint="eastAsia" w:ascii="Cambria Math" w:hAnsi="Cambria Math" w:eastAsia="宋体" w:cs="宋体"/>
                      <w:sz w:val="24"/>
                    </w:rPr>
                    <m:t>i</m:t>
                  </m:r>
                  <m:ctrlPr>
                    <w:rPr>
                      <w:rFonts w:hint="eastAsia" w:ascii="Cambria Math" w:hAnsi="Cambria Math" w:eastAsia="宋体" w:cs="宋体"/>
                      <w:i/>
                      <w:sz w:val="24"/>
                    </w:rPr>
                  </m:ctrlPr>
                </m:sub>
              </m:sSub>
              <m:r>
                <m:rPr/>
                <w:rPr>
                  <w:rFonts w:hint="eastAsia" w:ascii="Cambria Math" w:hAnsi="Cambria Math" w:eastAsia="宋体" w:cs="宋体"/>
                  <w:sz w:val="24"/>
                </w:rPr>
                <m:t>∗</m:t>
              </m:r>
              <m:sSub>
                <m:sSubPr>
                  <m:ctrlPr>
                    <w:rPr>
                      <w:rFonts w:hint="eastAsia" w:ascii="Cambria Math" w:hAnsi="Cambria Math" w:eastAsia="宋体" w:cs="宋体"/>
                      <w:i/>
                      <w:sz w:val="24"/>
                    </w:rPr>
                  </m:ctrlPr>
                </m:sSubPr>
                <m:e>
                  <m:r>
                    <m:rPr/>
                    <w:rPr>
                      <w:rFonts w:hint="eastAsia" w:ascii="Cambria Math" w:hAnsi="Cambria Math" w:eastAsia="宋体" w:cs="宋体"/>
                      <w:sz w:val="24"/>
                    </w:rPr>
                    <m:t>Q</m:t>
                  </m:r>
                  <m:ctrlPr>
                    <w:rPr>
                      <w:rFonts w:hint="eastAsia" w:ascii="Cambria Math" w:hAnsi="Cambria Math" w:eastAsia="宋体" w:cs="宋体"/>
                      <w:i/>
                      <w:sz w:val="24"/>
                    </w:rPr>
                  </m:ctrlPr>
                </m:e>
                <m:sub>
                  <m:r>
                    <m:rPr/>
                    <w:rPr>
                      <w:rFonts w:hint="eastAsia" w:ascii="Cambria Math" w:hAnsi="Cambria Math" w:eastAsia="宋体" w:cs="宋体"/>
                      <w:sz w:val="24"/>
                    </w:rPr>
                    <m:t>ij</m:t>
                  </m:r>
                  <m:ctrlPr>
                    <w:rPr>
                      <w:rFonts w:hint="eastAsia" w:ascii="Cambria Math" w:hAnsi="Cambria Math" w:eastAsia="宋体" w:cs="宋体"/>
                      <w:i/>
                      <w:sz w:val="24"/>
                    </w:rPr>
                  </m:ctrlPr>
                </m:sub>
              </m:sSub>
              <m:r>
                <m:rPr/>
                <w:rPr>
                  <w:rFonts w:hint="eastAsia" w:ascii="Cambria Math" w:hAnsi="Cambria Math" w:eastAsia="宋体" w:cs="宋体"/>
                  <w:sz w:val="24"/>
                </w:rPr>
                <m:t>∗GW</m:t>
              </m:r>
              <m:ctrlPr>
                <w:rPr>
                  <w:rFonts w:hint="eastAsia" w:ascii="Cambria Math" w:hAnsi="Cambria Math" w:eastAsia="宋体" w:cs="宋体"/>
                  <w:sz w:val="24"/>
                </w:rPr>
              </m:ctrlPr>
            </m:e>
          </m:nary>
          <m:sSub>
            <m:sSubPr>
              <m:ctrlPr>
                <w:rPr>
                  <w:rFonts w:hint="eastAsia" w:ascii="Cambria Math" w:hAnsi="Cambria Math" w:eastAsia="宋体" w:cs="宋体"/>
                  <w:i/>
                  <w:sz w:val="24"/>
                </w:rPr>
              </m:ctrlPr>
            </m:sSubPr>
            <m:e>
              <m:r>
                <m:rPr/>
                <w:rPr>
                  <w:rFonts w:hint="eastAsia" w:ascii="Cambria Math" w:hAnsi="Cambria Math" w:eastAsia="宋体" w:cs="宋体"/>
                  <w:sz w:val="24"/>
                </w:rPr>
                <m:t>P</m:t>
              </m:r>
              <m:ctrlPr>
                <w:rPr>
                  <w:rFonts w:hint="eastAsia" w:ascii="Cambria Math" w:hAnsi="Cambria Math" w:eastAsia="宋体" w:cs="宋体"/>
                  <w:i/>
                  <w:sz w:val="24"/>
                </w:rPr>
              </m:ctrlPr>
            </m:e>
            <m:sub>
              <m:r>
                <m:rPr/>
                <w:rPr>
                  <w:rFonts w:hint="eastAsia" w:ascii="Cambria Math" w:hAnsi="Cambria Math" w:eastAsia="宋体" w:cs="宋体"/>
                  <w:sz w:val="24"/>
                </w:rPr>
                <m:t>j</m:t>
              </m:r>
              <m:ctrlPr>
                <w:rPr>
                  <w:rFonts w:hint="eastAsia" w:ascii="Cambria Math" w:hAnsi="Cambria Math" w:eastAsia="宋体" w:cs="宋体"/>
                  <w:i/>
                  <w:sz w:val="24"/>
                </w:rPr>
              </m:ctrlPr>
            </m:sub>
          </m:sSub>
        </m:oMath>
      </m:oMathPara>
    </w:p>
    <w:p w14:paraId="0215B7D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其中，CF为碳足迹，P为活动水平数据，Q为排放因子，GWP为全球变暖潜势值。排放因子源于CLCD数据库和相关文献，由于部分物料数据库中暂无排放因子，取值均来自于相近物料排放因子</w:t>
      </w:r>
      <w:r>
        <w:rPr>
          <w:rFonts w:hint="eastAsia" w:ascii="宋体" w:hAnsi="宋体" w:eastAsia="宋体" w:cs="宋体"/>
          <w:sz w:val="24"/>
          <w:szCs w:val="24"/>
          <w:lang w:eastAsia="zh-Hans"/>
        </w:rPr>
        <w:t>（物料排放因子已根据相似物料排放因子与其自身碳含量比例进行缩减）</w:t>
      </w:r>
      <w:r>
        <w:rPr>
          <w:rFonts w:hint="eastAsia" w:ascii="宋体" w:hAnsi="宋体" w:eastAsia="宋体" w:cs="宋体"/>
          <w:sz w:val="24"/>
          <w:szCs w:val="24"/>
        </w:rPr>
        <w:t>。</w:t>
      </w:r>
    </w:p>
    <w:p w14:paraId="49D9A64F">
      <w:pPr>
        <w:spacing w:line="360" w:lineRule="auto"/>
        <w:jc w:val="center"/>
        <w:rPr>
          <w:rFonts w:hint="eastAsia" w:ascii="宋体" w:hAnsi="宋体" w:eastAsia="宋体" w:cs="宋体"/>
          <w:sz w:val="24"/>
          <w:szCs w:val="24"/>
        </w:rPr>
      </w:pPr>
      <w:r>
        <w:rPr>
          <w:rFonts w:hint="eastAsia" w:ascii="宋体" w:hAnsi="宋体" w:eastAsia="宋体" w:cs="宋体"/>
          <w:sz w:val="24"/>
          <w:szCs w:val="24"/>
        </w:rPr>
        <w:t xml:space="preserve">表4.1 </w:t>
      </w:r>
      <w:r>
        <w:rPr>
          <w:rFonts w:hint="eastAsia" w:ascii="宋体" w:hAnsi="宋体" w:cs="宋体"/>
          <w:sz w:val="24"/>
          <w:szCs w:val="24"/>
          <w:lang w:eastAsia="zh-CN"/>
        </w:rPr>
        <w:t>2024年</w:t>
      </w:r>
      <w:r>
        <w:rPr>
          <w:rFonts w:hint="eastAsia" w:ascii="宋体" w:hAnsi="宋体" w:cs="宋体"/>
          <w:sz w:val="24"/>
          <w:szCs w:val="24"/>
          <w:lang w:val="en-US" w:eastAsia="zh-CN"/>
        </w:rPr>
        <w:t>模具</w:t>
      </w:r>
      <w:r>
        <w:rPr>
          <w:rFonts w:hint="eastAsia" w:ascii="宋体" w:hAnsi="宋体" w:eastAsia="宋体" w:cs="宋体"/>
          <w:sz w:val="24"/>
          <w:szCs w:val="24"/>
        </w:rPr>
        <w:t>产品能源、原材料活动水平数据</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70"/>
        <w:gridCol w:w="866"/>
        <w:gridCol w:w="966"/>
        <w:gridCol w:w="1145"/>
        <w:gridCol w:w="639"/>
        <w:gridCol w:w="1280"/>
        <w:gridCol w:w="1296"/>
        <w:gridCol w:w="957"/>
      </w:tblGrid>
      <w:tr w14:paraId="1D572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804" w:type="pct"/>
            <w:shd w:val="clear" w:color="auto" w:fill="auto"/>
            <w:vAlign w:val="center"/>
          </w:tcPr>
          <w:p w14:paraId="234F430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活动水平数据名称</w:t>
            </w:r>
          </w:p>
        </w:tc>
        <w:tc>
          <w:tcPr>
            <w:tcW w:w="508" w:type="pct"/>
            <w:shd w:val="clear" w:color="auto" w:fill="auto"/>
            <w:vAlign w:val="center"/>
          </w:tcPr>
          <w:p w14:paraId="20F0E09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活动水平数据</w:t>
            </w:r>
          </w:p>
        </w:tc>
        <w:tc>
          <w:tcPr>
            <w:tcW w:w="566" w:type="pct"/>
            <w:shd w:val="clear" w:color="auto" w:fill="auto"/>
            <w:vAlign w:val="center"/>
          </w:tcPr>
          <w:p w14:paraId="3ECF13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排放</w:t>
            </w:r>
            <w:bookmarkStart w:id="0" w:name="_GoBack"/>
            <w:bookmarkEnd w:id="0"/>
            <w:r>
              <w:rPr>
                <w:rFonts w:hint="default" w:ascii="Times New Roman" w:hAnsi="Times New Roman" w:eastAsia="宋体" w:cs="Times New Roman"/>
                <w:i w:val="0"/>
                <w:iCs w:val="0"/>
                <w:color w:val="000000"/>
                <w:kern w:val="0"/>
                <w:sz w:val="24"/>
                <w:szCs w:val="24"/>
                <w:u w:val="none"/>
                <w:lang w:val="en-US" w:eastAsia="zh-CN" w:bidi="ar"/>
              </w:rPr>
              <w:t>因子</w:t>
            </w:r>
          </w:p>
        </w:tc>
        <w:tc>
          <w:tcPr>
            <w:tcW w:w="672" w:type="pct"/>
            <w:shd w:val="clear" w:color="auto" w:fill="auto"/>
            <w:vAlign w:val="center"/>
          </w:tcPr>
          <w:p w14:paraId="56A2634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单位</w:t>
            </w:r>
          </w:p>
        </w:tc>
        <w:tc>
          <w:tcPr>
            <w:tcW w:w="375" w:type="pct"/>
            <w:shd w:val="clear" w:color="auto" w:fill="auto"/>
            <w:vAlign w:val="center"/>
          </w:tcPr>
          <w:p w14:paraId="53C2B84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eastAsia" w:ascii="Times New Roman" w:hAnsi="Times New Roman" w:cs="Times New Roman"/>
                <w:i w:val="0"/>
                <w:iCs w:val="0"/>
                <w:color w:val="000000"/>
                <w:kern w:val="0"/>
                <w:sz w:val="24"/>
                <w:szCs w:val="24"/>
                <w:u w:val="none"/>
                <w:lang w:val="en-US" w:eastAsia="zh-CN" w:bidi="ar"/>
              </w:rPr>
              <w:t>GWP</w:t>
            </w:r>
            <w:r>
              <w:rPr>
                <w:rFonts w:hint="default" w:ascii="Times New Roman" w:hAnsi="Times New Roman" w:eastAsia="宋体" w:cs="Times New Roman"/>
                <w:i w:val="0"/>
                <w:iCs w:val="0"/>
                <w:color w:val="000000"/>
                <w:kern w:val="0"/>
                <w:sz w:val="24"/>
                <w:szCs w:val="24"/>
                <w:u w:val="none"/>
                <w:lang w:val="en-US" w:eastAsia="zh-CN" w:bidi="ar"/>
              </w:rPr>
              <w:t>值</w:t>
            </w:r>
          </w:p>
        </w:tc>
        <w:tc>
          <w:tcPr>
            <w:tcW w:w="751" w:type="pct"/>
            <w:shd w:val="clear" w:color="auto" w:fill="auto"/>
            <w:vAlign w:val="center"/>
          </w:tcPr>
          <w:p w14:paraId="6C02CA5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碳排放量（tCO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eq）</w:t>
            </w:r>
          </w:p>
        </w:tc>
        <w:tc>
          <w:tcPr>
            <w:tcW w:w="760" w:type="pct"/>
            <w:shd w:val="clear" w:color="auto" w:fill="auto"/>
            <w:vAlign w:val="center"/>
          </w:tcPr>
          <w:p w14:paraId="1DF6F51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r>
              <w:rPr>
                <w:rFonts w:hint="default" w:ascii="Times New Roman" w:hAnsi="Times New Roman" w:cs="Times New Roman"/>
                <w:i w:val="0"/>
                <w:iCs w:val="0"/>
                <w:color w:val="000000"/>
                <w:kern w:val="0"/>
                <w:sz w:val="24"/>
                <w:szCs w:val="24"/>
                <w:u w:val="none"/>
                <w:lang w:val="en-US" w:eastAsia="zh-CN" w:bidi="ar"/>
              </w:rPr>
              <w:t>套模具</w:t>
            </w:r>
            <w:r>
              <w:rPr>
                <w:rFonts w:hint="default" w:ascii="Times New Roman" w:hAnsi="Times New Roman" w:eastAsia="宋体" w:cs="Times New Roman"/>
                <w:i w:val="0"/>
                <w:iCs w:val="0"/>
                <w:color w:val="000000"/>
                <w:kern w:val="0"/>
                <w:sz w:val="24"/>
                <w:szCs w:val="24"/>
                <w:u w:val="none"/>
                <w:lang w:val="en-US" w:eastAsia="zh-CN" w:bidi="ar"/>
              </w:rPr>
              <w:t>产品碳排放量（tCO</w:t>
            </w:r>
            <w:r>
              <w:rPr>
                <w:rFonts w:hint="default" w:ascii="Times New Roman" w:hAnsi="Times New Roman" w:eastAsia="宋体" w:cs="Times New Roman"/>
                <w:i w:val="0"/>
                <w:iCs w:val="0"/>
                <w:color w:val="000000"/>
                <w:kern w:val="0"/>
                <w:sz w:val="24"/>
                <w:szCs w:val="24"/>
                <w:u w:val="none"/>
                <w:vertAlign w:val="subscript"/>
                <w:lang w:val="en-US" w:eastAsia="zh-CN" w:bidi="ar"/>
              </w:rPr>
              <w:t>2</w:t>
            </w:r>
            <w:r>
              <w:rPr>
                <w:rFonts w:hint="default" w:ascii="Times New Roman" w:hAnsi="Times New Roman" w:eastAsia="宋体" w:cs="Times New Roman"/>
                <w:i w:val="0"/>
                <w:iCs w:val="0"/>
                <w:color w:val="000000"/>
                <w:kern w:val="0"/>
                <w:sz w:val="24"/>
                <w:szCs w:val="24"/>
                <w:u w:val="none"/>
                <w:lang w:val="en-US" w:eastAsia="zh-CN" w:bidi="ar"/>
              </w:rPr>
              <w:t>eq</w:t>
            </w:r>
            <w:r>
              <w:rPr>
                <w:rFonts w:hint="default" w:ascii="Times New Roman" w:hAnsi="Times New Roman" w:cs="Times New Roman"/>
                <w:i w:val="0"/>
                <w:iCs w:val="0"/>
                <w:color w:val="000000"/>
                <w:kern w:val="0"/>
                <w:sz w:val="24"/>
                <w:szCs w:val="24"/>
                <w:u w:val="none"/>
                <w:lang w:val="en-US" w:eastAsia="zh-CN" w:bidi="ar"/>
              </w:rPr>
              <w:t>/</w:t>
            </w:r>
            <w:r>
              <w:rPr>
                <w:rFonts w:hint="eastAsia" w:cs="Times New Roman"/>
                <w:i w:val="0"/>
                <w:iCs w:val="0"/>
                <w:color w:val="000000"/>
                <w:kern w:val="0"/>
                <w:sz w:val="24"/>
                <w:szCs w:val="24"/>
                <w:u w:val="none"/>
                <w:lang w:val="en-US" w:eastAsia="zh-CN" w:bidi="ar"/>
              </w:rPr>
              <w:t>套</w:t>
            </w:r>
            <w:r>
              <w:rPr>
                <w:rFonts w:hint="default" w:ascii="Times New Roman" w:hAnsi="Times New Roman" w:eastAsia="宋体" w:cs="Times New Roman"/>
                <w:i w:val="0"/>
                <w:iCs w:val="0"/>
                <w:color w:val="000000"/>
                <w:kern w:val="0"/>
                <w:sz w:val="24"/>
                <w:szCs w:val="24"/>
                <w:u w:val="none"/>
                <w:lang w:val="en-US" w:eastAsia="zh-CN" w:bidi="ar"/>
              </w:rPr>
              <w:t>）</w:t>
            </w:r>
          </w:p>
        </w:tc>
        <w:tc>
          <w:tcPr>
            <w:tcW w:w="561" w:type="pct"/>
            <w:shd w:val="clear" w:color="auto" w:fill="auto"/>
            <w:vAlign w:val="center"/>
          </w:tcPr>
          <w:p w14:paraId="6173E92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碳足迹产生占比</w:t>
            </w:r>
          </w:p>
        </w:tc>
      </w:tr>
      <w:tr w14:paraId="450B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pct"/>
            <w:shd w:val="clear" w:color="auto" w:fill="auto"/>
            <w:vAlign w:val="center"/>
          </w:tcPr>
          <w:p w14:paraId="3A5AC9CA">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产品产量</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套</w:t>
            </w:r>
            <w:r>
              <w:rPr>
                <w:rFonts w:hint="default" w:ascii="Times New Roman" w:hAnsi="Times New Roman" w:eastAsia="宋体" w:cs="Times New Roman"/>
                <w:i w:val="0"/>
                <w:iCs w:val="0"/>
                <w:color w:val="000000"/>
                <w:kern w:val="0"/>
                <w:sz w:val="24"/>
                <w:szCs w:val="24"/>
                <w:u w:val="none"/>
                <w:lang w:val="en-US" w:eastAsia="zh-CN" w:bidi="ar"/>
              </w:rPr>
              <w:t>）</w:t>
            </w:r>
          </w:p>
        </w:tc>
        <w:tc>
          <w:tcPr>
            <w:tcW w:w="508" w:type="pct"/>
            <w:shd w:val="clear" w:color="auto" w:fill="auto"/>
            <w:vAlign w:val="center"/>
          </w:tcPr>
          <w:p w14:paraId="061CFFF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403</w:t>
            </w:r>
          </w:p>
        </w:tc>
        <w:tc>
          <w:tcPr>
            <w:tcW w:w="566" w:type="pct"/>
            <w:shd w:val="clear" w:color="auto" w:fill="auto"/>
            <w:vAlign w:val="center"/>
          </w:tcPr>
          <w:p w14:paraId="3AB917A0">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w:t>
            </w:r>
          </w:p>
        </w:tc>
        <w:tc>
          <w:tcPr>
            <w:tcW w:w="672" w:type="pct"/>
            <w:shd w:val="clear" w:color="auto" w:fill="auto"/>
            <w:vAlign w:val="center"/>
          </w:tcPr>
          <w:p w14:paraId="244DAD27">
            <w:pPr>
              <w:jc w:val="center"/>
              <w:rPr>
                <w:rFonts w:hint="eastAsia"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rPr>
              <w:t>tCO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rPr>
              <w:t>e</w:t>
            </w:r>
            <w:r>
              <w:rPr>
                <w:rFonts w:hint="eastAsia" w:ascii="Times New Roman" w:hAnsi="Times New Roman" w:cs="Times New Roman"/>
                <w:i w:val="0"/>
                <w:iCs w:val="0"/>
                <w:color w:val="000000"/>
                <w:sz w:val="24"/>
                <w:szCs w:val="24"/>
                <w:u w:val="none"/>
                <w:lang w:val="en-US" w:eastAsia="zh-CN"/>
              </w:rPr>
              <w:t>q</w:t>
            </w:r>
          </w:p>
        </w:tc>
        <w:tc>
          <w:tcPr>
            <w:tcW w:w="375" w:type="pct"/>
            <w:shd w:val="clear" w:color="auto" w:fill="auto"/>
            <w:vAlign w:val="center"/>
          </w:tcPr>
          <w:p w14:paraId="1F7FB89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p>
        </w:tc>
        <w:tc>
          <w:tcPr>
            <w:tcW w:w="751" w:type="pct"/>
            <w:shd w:val="clear" w:color="auto" w:fill="auto"/>
            <w:vAlign w:val="center"/>
          </w:tcPr>
          <w:p w14:paraId="38ADE81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1110.2</w:t>
            </w:r>
            <w:r>
              <w:rPr>
                <w:rFonts w:hint="eastAsia" w:cs="Times New Roman"/>
                <w:i w:val="0"/>
                <w:iCs w:val="0"/>
                <w:color w:val="000000"/>
                <w:kern w:val="0"/>
                <w:sz w:val="24"/>
                <w:szCs w:val="24"/>
                <w:u w:val="none"/>
                <w:lang w:val="en-US" w:eastAsia="zh-CN" w:bidi="ar"/>
              </w:rPr>
              <w:t>0</w:t>
            </w:r>
            <w:r>
              <w:rPr>
                <w:rFonts w:hint="eastAsia" w:ascii="Times New Roman" w:hAnsi="Times New Roman" w:eastAsia="宋体" w:cs="Times New Roman"/>
                <w:i w:val="0"/>
                <w:iCs w:val="0"/>
                <w:color w:val="000000"/>
                <w:kern w:val="0"/>
                <w:sz w:val="24"/>
                <w:szCs w:val="24"/>
                <w:u w:val="none"/>
                <w:lang w:val="en-US" w:eastAsia="zh-CN" w:bidi="ar"/>
              </w:rPr>
              <w:t xml:space="preserve"> </w:t>
            </w:r>
          </w:p>
        </w:tc>
        <w:tc>
          <w:tcPr>
            <w:tcW w:w="760" w:type="pct"/>
            <w:shd w:val="clear" w:color="auto" w:fill="auto"/>
            <w:vAlign w:val="center"/>
          </w:tcPr>
          <w:p w14:paraId="75B8B71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2.75 </w:t>
            </w:r>
          </w:p>
        </w:tc>
        <w:tc>
          <w:tcPr>
            <w:tcW w:w="561" w:type="pct"/>
            <w:shd w:val="clear" w:color="auto" w:fill="auto"/>
            <w:noWrap/>
            <w:vAlign w:val="center"/>
          </w:tcPr>
          <w:p w14:paraId="7156666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100%</w:t>
            </w:r>
          </w:p>
        </w:tc>
      </w:tr>
      <w:tr w14:paraId="6807B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pct"/>
            <w:shd w:val="clear" w:color="auto" w:fill="auto"/>
            <w:vAlign w:val="center"/>
          </w:tcPr>
          <w:p w14:paraId="46BFF5B5">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电</w:t>
            </w:r>
          </w:p>
          <w:p w14:paraId="5BBC3271">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万kWh</w:t>
            </w:r>
            <w:r>
              <w:rPr>
                <w:rFonts w:hint="default" w:ascii="Times New Roman" w:hAnsi="Times New Roman" w:eastAsia="宋体" w:cs="Times New Roman"/>
                <w:i w:val="0"/>
                <w:iCs w:val="0"/>
                <w:color w:val="000000"/>
                <w:kern w:val="0"/>
                <w:sz w:val="24"/>
                <w:szCs w:val="24"/>
                <w:u w:val="none"/>
                <w:lang w:val="en-US" w:eastAsia="zh-CN" w:bidi="ar"/>
              </w:rPr>
              <w:t>）</w:t>
            </w:r>
          </w:p>
        </w:tc>
        <w:tc>
          <w:tcPr>
            <w:tcW w:w="508" w:type="pct"/>
            <w:shd w:val="clear" w:color="auto" w:fill="auto"/>
            <w:vAlign w:val="center"/>
          </w:tcPr>
          <w:p w14:paraId="6BD9E5CC">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cs="Times New Roman"/>
                <w:i w:val="0"/>
                <w:iCs w:val="0"/>
                <w:color w:val="000000"/>
                <w:kern w:val="0"/>
                <w:sz w:val="24"/>
                <w:szCs w:val="24"/>
                <w:u w:val="none"/>
                <w:lang w:val="en-US" w:eastAsia="zh-CN" w:bidi="ar"/>
              </w:rPr>
              <w:t>91.98</w:t>
            </w:r>
          </w:p>
        </w:tc>
        <w:tc>
          <w:tcPr>
            <w:tcW w:w="566" w:type="pct"/>
            <w:shd w:val="clear" w:color="auto" w:fill="auto"/>
            <w:vAlign w:val="center"/>
          </w:tcPr>
          <w:p w14:paraId="60C7280B">
            <w:pPr>
              <w:keepNext w:val="0"/>
              <w:keepLines w:val="0"/>
              <w:widowControl/>
              <w:suppressLineNumbers w:val="0"/>
              <w:jc w:val="center"/>
              <w:textAlignment w:val="center"/>
              <w:rPr>
                <w:rFonts w:hint="default" w:ascii="Times New Roman" w:hAnsi="Times New Roman" w:eastAsia="宋体" w:cs="Times New Roman"/>
                <w:i w:val="0"/>
                <w:iCs w:val="0"/>
                <w:color w:val="000000"/>
                <w:kern w:val="2"/>
                <w:sz w:val="24"/>
                <w:szCs w:val="24"/>
                <w:u w:val="none"/>
                <w:lang w:val="en-US" w:eastAsia="zh-CN" w:bidi="ar-SA"/>
              </w:rPr>
            </w:pPr>
            <w:r>
              <w:rPr>
                <w:rFonts w:hint="eastAsia" w:ascii="Times New Roman" w:hAnsi="Times New Roman" w:cs="Times New Roman"/>
                <w:i w:val="0"/>
                <w:iCs w:val="0"/>
                <w:color w:val="000000"/>
                <w:kern w:val="0"/>
                <w:sz w:val="24"/>
                <w:szCs w:val="24"/>
                <w:u w:val="none"/>
                <w:lang w:val="en-US" w:eastAsia="zh-CN" w:bidi="ar"/>
              </w:rPr>
              <w:t>0.6205</w:t>
            </w:r>
          </w:p>
        </w:tc>
        <w:tc>
          <w:tcPr>
            <w:tcW w:w="672" w:type="pct"/>
            <w:shd w:val="clear" w:color="auto" w:fill="auto"/>
            <w:vAlign w:val="center"/>
          </w:tcPr>
          <w:p w14:paraId="08F2A5F2">
            <w:pPr>
              <w:jc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kg</w:t>
            </w:r>
            <w:r>
              <w:rPr>
                <w:rFonts w:hint="default" w:ascii="Times New Roman" w:hAnsi="Times New Roman" w:eastAsia="宋体" w:cs="Times New Roman"/>
                <w:i w:val="0"/>
                <w:iCs w:val="0"/>
                <w:color w:val="000000"/>
                <w:sz w:val="24"/>
                <w:szCs w:val="24"/>
                <w:u w:val="none"/>
              </w:rPr>
              <w:t>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rPr>
              <w:t>e</w:t>
            </w:r>
            <w:r>
              <w:rPr>
                <w:rFonts w:hint="eastAsia" w:ascii="Times New Roman" w:hAnsi="Times New Roman" w:cs="Times New Roman"/>
                <w:i w:val="0"/>
                <w:iCs w:val="0"/>
                <w:color w:val="000000"/>
                <w:sz w:val="24"/>
                <w:szCs w:val="24"/>
                <w:u w:val="none"/>
                <w:lang w:val="en-US" w:eastAsia="zh-CN"/>
              </w:rPr>
              <w:t>q</w:t>
            </w:r>
            <w:r>
              <w:rPr>
                <w:rFonts w:hint="default" w:ascii="Times New Roman" w:hAnsi="Times New Roman" w:eastAsia="宋体" w:cs="Times New Roman"/>
                <w:i w:val="0"/>
                <w:iCs w:val="0"/>
                <w:color w:val="000000"/>
                <w:sz w:val="24"/>
                <w:szCs w:val="24"/>
                <w:u w:val="none"/>
              </w:rPr>
              <w:t>/</w:t>
            </w:r>
            <w:r>
              <w:rPr>
                <w:rFonts w:hint="eastAsia" w:ascii="Times New Roman" w:hAnsi="Times New Roman" w:cs="Times New Roman"/>
                <w:i w:val="0"/>
                <w:iCs w:val="0"/>
                <w:color w:val="000000"/>
                <w:sz w:val="24"/>
                <w:szCs w:val="24"/>
                <w:u w:val="none"/>
                <w:lang w:val="en-US" w:eastAsia="zh-CN"/>
              </w:rPr>
              <w:t>kWh</w:t>
            </w:r>
          </w:p>
        </w:tc>
        <w:tc>
          <w:tcPr>
            <w:tcW w:w="375" w:type="pct"/>
            <w:shd w:val="clear" w:color="auto" w:fill="auto"/>
            <w:vAlign w:val="center"/>
          </w:tcPr>
          <w:p w14:paraId="3E383CA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cs="Times New Roman"/>
                <w:i w:val="0"/>
                <w:iCs w:val="0"/>
                <w:color w:val="000000"/>
                <w:kern w:val="0"/>
                <w:sz w:val="24"/>
                <w:szCs w:val="24"/>
                <w:u w:val="none"/>
                <w:lang w:val="en-US" w:eastAsia="zh-CN" w:bidi="ar"/>
              </w:rPr>
              <w:t>1</w:t>
            </w:r>
          </w:p>
        </w:tc>
        <w:tc>
          <w:tcPr>
            <w:tcW w:w="751" w:type="pct"/>
            <w:shd w:val="clear" w:color="auto" w:fill="auto"/>
            <w:vAlign w:val="center"/>
          </w:tcPr>
          <w:p w14:paraId="4F0D8CED">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570.74 </w:t>
            </w:r>
          </w:p>
        </w:tc>
        <w:tc>
          <w:tcPr>
            <w:tcW w:w="760" w:type="pct"/>
            <w:shd w:val="clear" w:color="auto" w:fill="auto"/>
            <w:noWrap/>
            <w:vAlign w:val="center"/>
          </w:tcPr>
          <w:p w14:paraId="611045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1.42 </w:t>
            </w:r>
          </w:p>
        </w:tc>
        <w:tc>
          <w:tcPr>
            <w:tcW w:w="561" w:type="pct"/>
            <w:shd w:val="clear" w:color="auto" w:fill="auto"/>
            <w:noWrap/>
            <w:vAlign w:val="center"/>
          </w:tcPr>
          <w:p w14:paraId="32352B9F">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51.4</w:t>
            </w:r>
            <w:r>
              <w:rPr>
                <w:rFonts w:hint="eastAsia" w:cs="Times New Roman"/>
                <w:i w:val="0"/>
                <w:iCs w:val="0"/>
                <w:color w:val="000000"/>
                <w:kern w:val="0"/>
                <w:sz w:val="24"/>
                <w:szCs w:val="24"/>
                <w:u w:val="none"/>
                <w:lang w:val="en-US" w:eastAsia="zh-CN" w:bidi="ar"/>
              </w:rPr>
              <w:t>0</w:t>
            </w:r>
            <w:r>
              <w:rPr>
                <w:rFonts w:hint="default" w:ascii="Times New Roman" w:hAnsi="Times New Roman" w:eastAsia="宋体" w:cs="Times New Roman"/>
                <w:i w:val="0"/>
                <w:iCs w:val="0"/>
                <w:color w:val="000000"/>
                <w:kern w:val="0"/>
                <w:sz w:val="24"/>
                <w:szCs w:val="24"/>
                <w:u w:val="none"/>
                <w:lang w:val="en-US" w:eastAsia="zh-CN" w:bidi="ar"/>
              </w:rPr>
              <w:t>%</w:t>
            </w:r>
          </w:p>
        </w:tc>
      </w:tr>
      <w:tr w14:paraId="2A719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pct"/>
            <w:shd w:val="clear" w:color="auto" w:fill="auto"/>
            <w:vAlign w:val="center"/>
          </w:tcPr>
          <w:p w14:paraId="3A853549">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模胚</w:t>
            </w:r>
          </w:p>
          <w:p w14:paraId="32B09C59">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（吨）</w:t>
            </w:r>
          </w:p>
        </w:tc>
        <w:tc>
          <w:tcPr>
            <w:tcW w:w="508" w:type="pct"/>
            <w:shd w:val="clear" w:color="auto" w:fill="auto"/>
            <w:vAlign w:val="center"/>
          </w:tcPr>
          <w:p w14:paraId="09E646A4">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eastAsia" w:ascii="Times New Roman" w:hAnsi="Times New Roman" w:cs="Times New Roman"/>
                <w:i w:val="0"/>
                <w:iCs w:val="0"/>
                <w:color w:val="000000"/>
                <w:sz w:val="24"/>
                <w:szCs w:val="24"/>
                <w:u w:val="none"/>
                <w:lang w:val="en-US" w:eastAsia="zh-CN"/>
              </w:rPr>
              <w:t>111.37</w:t>
            </w:r>
          </w:p>
        </w:tc>
        <w:tc>
          <w:tcPr>
            <w:tcW w:w="566" w:type="pct"/>
            <w:shd w:val="clear" w:color="auto" w:fill="auto"/>
            <w:noWrap/>
            <w:vAlign w:val="center"/>
          </w:tcPr>
          <w:p w14:paraId="24FDA76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2.29</w:t>
            </w:r>
          </w:p>
        </w:tc>
        <w:tc>
          <w:tcPr>
            <w:tcW w:w="672" w:type="pct"/>
            <w:shd w:val="clear" w:color="auto" w:fill="auto"/>
            <w:noWrap/>
            <w:vAlign w:val="center"/>
          </w:tcPr>
          <w:p w14:paraId="6EBF9F9B">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tCO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rPr>
              <w:t>e</w:t>
            </w:r>
            <w:r>
              <w:rPr>
                <w:rFonts w:hint="eastAsia" w:ascii="Times New Roman" w:hAnsi="Times New Roman" w:cs="Times New Roman"/>
                <w:i w:val="0"/>
                <w:iCs w:val="0"/>
                <w:color w:val="000000"/>
                <w:sz w:val="24"/>
                <w:szCs w:val="24"/>
                <w:u w:val="none"/>
                <w:lang w:val="en-US" w:eastAsia="zh-CN"/>
              </w:rPr>
              <w:t>q</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吨</w:t>
            </w:r>
          </w:p>
        </w:tc>
        <w:tc>
          <w:tcPr>
            <w:tcW w:w="375" w:type="pct"/>
            <w:shd w:val="clear" w:color="auto" w:fill="auto"/>
            <w:noWrap/>
            <w:vAlign w:val="center"/>
          </w:tcPr>
          <w:p w14:paraId="5F07D35F">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51" w:type="pct"/>
            <w:shd w:val="clear" w:color="auto" w:fill="auto"/>
            <w:noWrap/>
            <w:vAlign w:val="center"/>
          </w:tcPr>
          <w:p w14:paraId="76AA419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255.04 </w:t>
            </w:r>
          </w:p>
        </w:tc>
        <w:tc>
          <w:tcPr>
            <w:tcW w:w="760" w:type="pct"/>
            <w:shd w:val="clear" w:color="auto" w:fill="auto"/>
            <w:noWrap/>
            <w:vAlign w:val="center"/>
          </w:tcPr>
          <w:p w14:paraId="289DE53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0.63 </w:t>
            </w:r>
          </w:p>
        </w:tc>
        <w:tc>
          <w:tcPr>
            <w:tcW w:w="561" w:type="pct"/>
            <w:shd w:val="clear" w:color="auto" w:fill="auto"/>
            <w:noWrap/>
            <w:vAlign w:val="center"/>
          </w:tcPr>
          <w:p w14:paraId="49E9AFA5">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22.97%</w:t>
            </w:r>
          </w:p>
        </w:tc>
      </w:tr>
      <w:tr w14:paraId="71344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04" w:type="pct"/>
            <w:shd w:val="clear" w:color="auto" w:fill="auto"/>
            <w:vAlign w:val="center"/>
          </w:tcPr>
          <w:p w14:paraId="2614362B">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钢料</w:t>
            </w:r>
          </w:p>
          <w:p w14:paraId="674295EC">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（吨）</w:t>
            </w:r>
          </w:p>
        </w:tc>
        <w:tc>
          <w:tcPr>
            <w:tcW w:w="508" w:type="pct"/>
            <w:shd w:val="clear" w:color="auto" w:fill="auto"/>
            <w:vAlign w:val="center"/>
          </w:tcPr>
          <w:p w14:paraId="6A8DA65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2.069</w:t>
            </w:r>
          </w:p>
        </w:tc>
        <w:tc>
          <w:tcPr>
            <w:tcW w:w="566" w:type="pct"/>
            <w:shd w:val="clear" w:color="auto" w:fill="auto"/>
            <w:noWrap/>
            <w:vAlign w:val="center"/>
          </w:tcPr>
          <w:p w14:paraId="024D63D1">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2.069</w:t>
            </w:r>
          </w:p>
        </w:tc>
        <w:tc>
          <w:tcPr>
            <w:tcW w:w="672" w:type="pct"/>
            <w:shd w:val="clear" w:color="auto" w:fill="auto"/>
            <w:noWrap/>
            <w:vAlign w:val="center"/>
          </w:tcPr>
          <w:p w14:paraId="6A8C5FC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tCO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rPr>
              <w:t>eq</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吨</w:t>
            </w:r>
          </w:p>
        </w:tc>
        <w:tc>
          <w:tcPr>
            <w:tcW w:w="375" w:type="pct"/>
            <w:shd w:val="clear" w:color="auto" w:fill="auto"/>
            <w:noWrap/>
            <w:vAlign w:val="center"/>
          </w:tcPr>
          <w:p w14:paraId="552549E2">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51" w:type="pct"/>
            <w:shd w:val="clear" w:color="auto" w:fill="auto"/>
            <w:noWrap/>
            <w:vAlign w:val="center"/>
          </w:tcPr>
          <w:p w14:paraId="3DF24AF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4.28 </w:t>
            </w:r>
          </w:p>
        </w:tc>
        <w:tc>
          <w:tcPr>
            <w:tcW w:w="760" w:type="pct"/>
            <w:shd w:val="clear" w:color="auto" w:fill="auto"/>
            <w:noWrap/>
            <w:vAlign w:val="center"/>
          </w:tcPr>
          <w:p w14:paraId="7B20221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0.01 </w:t>
            </w:r>
          </w:p>
        </w:tc>
        <w:tc>
          <w:tcPr>
            <w:tcW w:w="561" w:type="pct"/>
            <w:shd w:val="clear" w:color="auto" w:fill="auto"/>
            <w:noWrap/>
            <w:vAlign w:val="center"/>
          </w:tcPr>
          <w:p w14:paraId="27187A3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0.39%</w:t>
            </w:r>
          </w:p>
        </w:tc>
      </w:tr>
      <w:tr w14:paraId="71E9D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04" w:type="pct"/>
            <w:shd w:val="clear" w:color="auto" w:fill="auto"/>
            <w:vAlign w:val="center"/>
          </w:tcPr>
          <w:p w14:paraId="0A55AB89">
            <w:pPr>
              <w:keepNext w:val="0"/>
              <w:keepLines w:val="0"/>
              <w:widowControl/>
              <w:suppressLineNumbers w:val="0"/>
              <w:jc w:val="center"/>
              <w:textAlignment w:val="center"/>
              <w:rPr>
                <w:rFonts w:hint="default" w:ascii="Times New Roman" w:hAnsi="Times New Roman"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铜料</w:t>
            </w:r>
          </w:p>
          <w:p w14:paraId="0D162653">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（吨）</w:t>
            </w:r>
          </w:p>
        </w:tc>
        <w:tc>
          <w:tcPr>
            <w:tcW w:w="508" w:type="pct"/>
            <w:shd w:val="clear" w:color="auto" w:fill="auto"/>
            <w:vAlign w:val="center"/>
          </w:tcPr>
          <w:p w14:paraId="71FC0188">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12.25</w:t>
            </w:r>
          </w:p>
        </w:tc>
        <w:tc>
          <w:tcPr>
            <w:tcW w:w="566" w:type="pct"/>
            <w:shd w:val="clear" w:color="auto" w:fill="auto"/>
            <w:noWrap/>
            <w:vAlign w:val="center"/>
          </w:tcPr>
          <w:p w14:paraId="440702DE">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4.23</w:t>
            </w:r>
          </w:p>
        </w:tc>
        <w:tc>
          <w:tcPr>
            <w:tcW w:w="672" w:type="pct"/>
            <w:shd w:val="clear" w:color="auto" w:fill="auto"/>
            <w:noWrap/>
            <w:vAlign w:val="center"/>
          </w:tcPr>
          <w:p w14:paraId="45827D7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sz w:val="24"/>
                <w:szCs w:val="24"/>
                <w:u w:val="none"/>
              </w:rPr>
              <w:t>tCO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rPr>
              <w:t>eq</w:t>
            </w:r>
            <w:r>
              <w:rPr>
                <w:rFonts w:hint="default" w:ascii="Times New Roman" w:hAnsi="Times New Roman" w:eastAsia="宋体" w:cs="Times New Roman"/>
                <w:i w:val="0"/>
                <w:iCs w:val="0"/>
                <w:color w:val="000000"/>
                <w:kern w:val="0"/>
                <w:sz w:val="24"/>
                <w:szCs w:val="24"/>
                <w:u w:val="none"/>
                <w:lang w:val="en-US" w:eastAsia="zh-CN" w:bidi="ar"/>
              </w:rPr>
              <w:t>/</w:t>
            </w:r>
            <w:r>
              <w:rPr>
                <w:rFonts w:hint="default" w:ascii="Times New Roman" w:hAnsi="Times New Roman" w:cs="Times New Roman"/>
                <w:i w:val="0"/>
                <w:iCs w:val="0"/>
                <w:color w:val="000000"/>
                <w:kern w:val="0"/>
                <w:sz w:val="24"/>
                <w:szCs w:val="24"/>
                <w:u w:val="none"/>
                <w:lang w:val="en-US" w:eastAsia="zh-CN" w:bidi="ar"/>
              </w:rPr>
              <w:t>吨</w:t>
            </w:r>
          </w:p>
        </w:tc>
        <w:tc>
          <w:tcPr>
            <w:tcW w:w="375" w:type="pct"/>
            <w:shd w:val="clear" w:color="auto" w:fill="auto"/>
            <w:noWrap/>
            <w:vAlign w:val="center"/>
          </w:tcPr>
          <w:p w14:paraId="37B20F7D">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751" w:type="pct"/>
            <w:shd w:val="clear" w:color="auto" w:fill="auto"/>
            <w:noWrap/>
            <w:vAlign w:val="center"/>
          </w:tcPr>
          <w:p w14:paraId="015D9C6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51.82 </w:t>
            </w:r>
          </w:p>
        </w:tc>
        <w:tc>
          <w:tcPr>
            <w:tcW w:w="760" w:type="pct"/>
            <w:shd w:val="clear" w:color="auto" w:fill="auto"/>
            <w:noWrap/>
            <w:vAlign w:val="center"/>
          </w:tcPr>
          <w:p w14:paraId="598A4FD9">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0.13 </w:t>
            </w:r>
          </w:p>
        </w:tc>
        <w:tc>
          <w:tcPr>
            <w:tcW w:w="561" w:type="pct"/>
            <w:shd w:val="clear" w:color="auto" w:fill="auto"/>
            <w:noWrap/>
            <w:vAlign w:val="center"/>
          </w:tcPr>
          <w:p w14:paraId="2FC6604A">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4.67%</w:t>
            </w:r>
          </w:p>
        </w:tc>
      </w:tr>
      <w:tr w14:paraId="682E9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7" w:hRule="atLeast"/>
        </w:trPr>
        <w:tc>
          <w:tcPr>
            <w:tcW w:w="804" w:type="pct"/>
            <w:shd w:val="clear" w:color="auto" w:fill="auto"/>
            <w:vAlign w:val="center"/>
          </w:tcPr>
          <w:p w14:paraId="5A089172">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cs="Times New Roman"/>
                <w:i w:val="0"/>
                <w:iCs w:val="0"/>
                <w:color w:val="000000"/>
                <w:kern w:val="0"/>
                <w:sz w:val="24"/>
                <w:szCs w:val="24"/>
                <w:u w:val="none"/>
                <w:lang w:val="en-US" w:eastAsia="zh-CN" w:bidi="ar"/>
              </w:rPr>
              <w:t>轻</w:t>
            </w:r>
            <w:r>
              <w:rPr>
                <w:rFonts w:hint="default" w:ascii="Times New Roman" w:hAnsi="Times New Roman" w:eastAsia="宋体" w:cs="Times New Roman"/>
                <w:i w:val="0"/>
                <w:iCs w:val="0"/>
                <w:color w:val="000000"/>
                <w:kern w:val="0"/>
                <w:sz w:val="24"/>
                <w:szCs w:val="24"/>
                <w:u w:val="none"/>
                <w:lang w:val="en-US" w:eastAsia="zh-CN" w:bidi="ar"/>
              </w:rPr>
              <w:t>型</w:t>
            </w:r>
            <w:r>
              <w:rPr>
                <w:rFonts w:hint="eastAsia" w:ascii="Times New Roman" w:hAnsi="Times New Roman" w:cs="Times New Roman"/>
                <w:i w:val="0"/>
                <w:iCs w:val="0"/>
                <w:color w:val="000000"/>
                <w:kern w:val="0"/>
                <w:sz w:val="24"/>
                <w:szCs w:val="24"/>
                <w:u w:val="none"/>
                <w:lang w:val="en-US" w:eastAsia="zh-CN" w:bidi="ar"/>
              </w:rPr>
              <w:t>汽油</w:t>
            </w:r>
            <w:r>
              <w:rPr>
                <w:rFonts w:hint="default" w:ascii="Times New Roman" w:hAnsi="Times New Roman" w:eastAsia="宋体" w:cs="Times New Roman"/>
                <w:i w:val="0"/>
                <w:iCs w:val="0"/>
                <w:color w:val="000000"/>
                <w:kern w:val="0"/>
                <w:sz w:val="24"/>
                <w:szCs w:val="24"/>
                <w:u w:val="none"/>
                <w:lang w:val="en-US" w:eastAsia="zh-CN" w:bidi="ar"/>
              </w:rPr>
              <w:t>货车运输</w:t>
            </w:r>
          </w:p>
          <w:p w14:paraId="1630D68E">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Times New Roman" w:hAnsi="Times New Roman" w:cs="Times New Roman"/>
                <w:i w:val="0"/>
                <w:iCs w:val="0"/>
                <w:color w:val="000000"/>
                <w:kern w:val="0"/>
                <w:sz w:val="24"/>
                <w:szCs w:val="24"/>
                <w:u w:val="none"/>
                <w:lang w:val="en-US" w:eastAsia="zh-CN" w:bidi="ar"/>
              </w:rPr>
              <w:t>公里</w:t>
            </w:r>
            <w:r>
              <w:rPr>
                <w:rFonts w:hint="default" w:ascii="Times New Roman" w:hAnsi="Times New Roman" w:eastAsia="宋体" w:cs="Times New Roman"/>
                <w:i w:val="0"/>
                <w:iCs w:val="0"/>
                <w:color w:val="000000"/>
                <w:kern w:val="0"/>
                <w:sz w:val="24"/>
                <w:szCs w:val="24"/>
                <w:u w:val="none"/>
                <w:lang w:val="en-US" w:eastAsia="zh-CN" w:bidi="ar"/>
              </w:rPr>
              <w:t>）</w:t>
            </w:r>
          </w:p>
        </w:tc>
        <w:tc>
          <w:tcPr>
            <w:tcW w:w="508" w:type="pct"/>
            <w:shd w:val="clear" w:color="auto" w:fill="auto"/>
            <w:noWrap/>
            <w:vAlign w:val="center"/>
          </w:tcPr>
          <w:p w14:paraId="1D8DA52C">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11296</w:t>
            </w:r>
          </w:p>
        </w:tc>
        <w:tc>
          <w:tcPr>
            <w:tcW w:w="566" w:type="pct"/>
            <w:shd w:val="clear" w:color="auto" w:fill="auto"/>
            <w:noWrap/>
            <w:vAlign w:val="center"/>
          </w:tcPr>
          <w:p w14:paraId="2525DE54">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cs="Times New Roman"/>
                <w:i w:val="0"/>
                <w:iCs w:val="0"/>
                <w:color w:val="000000"/>
                <w:kern w:val="0"/>
                <w:sz w:val="24"/>
                <w:szCs w:val="24"/>
                <w:u w:val="none"/>
                <w:lang w:val="en-US" w:eastAsia="zh-CN" w:bidi="ar"/>
              </w:rPr>
              <w:t>0.334</w:t>
            </w:r>
          </w:p>
        </w:tc>
        <w:tc>
          <w:tcPr>
            <w:tcW w:w="672" w:type="pct"/>
            <w:shd w:val="clear" w:color="auto" w:fill="auto"/>
            <w:noWrap/>
            <w:vAlign w:val="center"/>
          </w:tcPr>
          <w:p w14:paraId="0054ECA7">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eastAsia="宋体" w:cs="Times New Roman"/>
                <w:i w:val="0"/>
                <w:iCs w:val="0"/>
                <w:color w:val="000000"/>
                <w:sz w:val="24"/>
                <w:szCs w:val="24"/>
                <w:u w:val="none"/>
                <w:lang w:val="en-US"/>
              </w:rPr>
              <w:t>kgCO</w:t>
            </w:r>
            <w:r>
              <w:rPr>
                <w:rFonts w:hint="default" w:ascii="Times New Roman" w:hAnsi="Times New Roman" w:cs="Times New Roman"/>
                <w:i w:val="0"/>
                <w:iCs w:val="0"/>
                <w:color w:val="000000"/>
                <w:sz w:val="24"/>
                <w:szCs w:val="24"/>
                <w:u w:val="none"/>
                <w:vertAlign w:val="subscript"/>
                <w:lang w:val="en-US" w:eastAsia="zh-CN"/>
              </w:rPr>
              <w:t>2</w:t>
            </w:r>
            <w:r>
              <w:rPr>
                <w:rFonts w:hint="default" w:ascii="Times New Roman" w:hAnsi="Times New Roman" w:eastAsia="宋体" w:cs="Times New Roman"/>
                <w:i w:val="0"/>
                <w:iCs w:val="0"/>
                <w:color w:val="000000"/>
                <w:sz w:val="24"/>
                <w:szCs w:val="24"/>
                <w:u w:val="none"/>
                <w:lang w:val="en-US"/>
              </w:rPr>
              <w:t>eq/</w:t>
            </w:r>
            <w:r>
              <w:rPr>
                <w:rFonts w:hint="eastAsia" w:ascii="Times New Roman" w:hAnsi="Times New Roman" w:cs="Times New Roman"/>
                <w:i w:val="0"/>
                <w:iCs w:val="0"/>
                <w:color w:val="000000"/>
                <w:sz w:val="24"/>
                <w:szCs w:val="24"/>
                <w:u w:val="none"/>
                <w:lang w:val="en-US" w:eastAsia="zh-CN"/>
              </w:rPr>
              <w:t>吨公里</w:t>
            </w:r>
          </w:p>
        </w:tc>
        <w:tc>
          <w:tcPr>
            <w:tcW w:w="375" w:type="pct"/>
            <w:shd w:val="clear" w:color="auto" w:fill="auto"/>
            <w:noWrap/>
            <w:vAlign w:val="center"/>
          </w:tcPr>
          <w:p w14:paraId="43E9C534">
            <w:pPr>
              <w:jc w:val="center"/>
              <w:rPr>
                <w:rFonts w:hint="default" w:ascii="Times New Roman" w:hAnsi="Times New Roman" w:eastAsia="宋体" w:cs="Times New Roman"/>
                <w:i w:val="0"/>
                <w:iCs w:val="0"/>
                <w:color w:val="000000"/>
                <w:sz w:val="24"/>
                <w:szCs w:val="24"/>
                <w:u w:val="none"/>
                <w:lang w:val="en-US" w:eastAsia="zh-CN"/>
              </w:rPr>
            </w:pPr>
            <w:r>
              <w:rPr>
                <w:rFonts w:hint="default" w:ascii="Times New Roman" w:hAnsi="Times New Roman" w:cs="Times New Roman"/>
                <w:i w:val="0"/>
                <w:iCs w:val="0"/>
                <w:color w:val="000000"/>
                <w:sz w:val="24"/>
                <w:szCs w:val="24"/>
                <w:u w:val="none"/>
                <w:lang w:val="en-US" w:eastAsia="zh-CN"/>
              </w:rPr>
              <w:t>1</w:t>
            </w:r>
          </w:p>
        </w:tc>
        <w:tc>
          <w:tcPr>
            <w:tcW w:w="751" w:type="pct"/>
            <w:shd w:val="clear" w:color="auto" w:fill="auto"/>
            <w:noWrap/>
            <w:vAlign w:val="center"/>
          </w:tcPr>
          <w:p w14:paraId="0D6AB14B">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228.33 </w:t>
            </w:r>
          </w:p>
        </w:tc>
        <w:tc>
          <w:tcPr>
            <w:tcW w:w="760" w:type="pct"/>
            <w:shd w:val="clear" w:color="auto" w:fill="auto"/>
            <w:noWrap/>
            <w:vAlign w:val="center"/>
          </w:tcPr>
          <w:p w14:paraId="7BF0CCE6">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eastAsia" w:ascii="Times New Roman" w:hAnsi="Times New Roman" w:eastAsia="宋体" w:cs="Times New Roman"/>
                <w:i w:val="0"/>
                <w:iCs w:val="0"/>
                <w:color w:val="000000"/>
                <w:kern w:val="0"/>
                <w:sz w:val="24"/>
                <w:szCs w:val="24"/>
                <w:u w:val="none"/>
                <w:lang w:val="en-US" w:eastAsia="zh-CN" w:bidi="ar"/>
              </w:rPr>
              <w:t xml:space="preserve">0.57 </w:t>
            </w:r>
          </w:p>
        </w:tc>
        <w:tc>
          <w:tcPr>
            <w:tcW w:w="561" w:type="pct"/>
            <w:shd w:val="clear" w:color="auto" w:fill="auto"/>
            <w:noWrap/>
            <w:vAlign w:val="center"/>
          </w:tcPr>
          <w:p w14:paraId="2B8E29E0">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4"/>
                <w:szCs w:val="24"/>
                <w:u w:val="none"/>
                <w:lang w:val="en-US" w:eastAsia="zh-CN" w:bidi="ar"/>
              </w:rPr>
            </w:pPr>
            <w:r>
              <w:rPr>
                <w:rFonts w:hint="default" w:ascii="Times New Roman" w:hAnsi="Times New Roman" w:eastAsia="宋体" w:cs="Times New Roman"/>
                <w:i w:val="0"/>
                <w:iCs w:val="0"/>
                <w:color w:val="000000"/>
                <w:kern w:val="0"/>
                <w:sz w:val="24"/>
                <w:szCs w:val="24"/>
                <w:u w:val="none"/>
                <w:lang w:val="en-US" w:eastAsia="zh-CN" w:bidi="ar"/>
              </w:rPr>
              <w:t>20.57%</w:t>
            </w:r>
          </w:p>
        </w:tc>
      </w:tr>
    </w:tbl>
    <w:p w14:paraId="5777BABA">
      <w:pPr>
        <w:tabs>
          <w:tab w:val="left" w:pos="312"/>
        </w:tabs>
        <w:jc w:val="both"/>
        <w:rPr>
          <w:rFonts w:hint="eastAsia" w:eastAsia="宋体"/>
          <w:lang w:eastAsia="zh-CN"/>
        </w:rPr>
      </w:pPr>
    </w:p>
    <w:p w14:paraId="2F0B7774">
      <w:pPr>
        <w:tabs>
          <w:tab w:val="left" w:pos="312"/>
        </w:tabs>
        <w:jc w:val="both"/>
      </w:pPr>
      <w:r>
        <w:drawing>
          <wp:inline distT="0" distB="0" distL="114300" distR="114300">
            <wp:extent cx="5267960" cy="2611120"/>
            <wp:effectExtent l="4445" t="4445" r="23495" b="13335"/>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567D918E">
      <w:pPr>
        <w:tabs>
          <w:tab w:val="left" w:pos="312"/>
        </w:tabs>
        <w:jc w:val="left"/>
        <w:rPr>
          <w:rFonts w:hint="eastAsia" w:ascii="宋体" w:hAnsi="宋体" w:eastAsia="宋体" w:cs="宋体"/>
          <w:b/>
          <w:bCs/>
          <w:sz w:val="28"/>
        </w:rPr>
      </w:pPr>
      <w:r>
        <w:rPr>
          <w:rFonts w:hint="eastAsia" w:ascii="宋体" w:hAnsi="宋体" w:eastAsia="宋体" w:cs="宋体"/>
          <w:b/>
          <w:bCs/>
          <w:sz w:val="28"/>
        </w:rPr>
        <w:t>5.结论与建议</w:t>
      </w:r>
    </w:p>
    <w:p w14:paraId="638C426F">
      <w:pPr>
        <w:spacing w:line="360" w:lineRule="auto"/>
        <w:ind w:firstLine="480" w:firstLineChars="200"/>
        <w:jc w:val="left"/>
        <w:rPr>
          <w:rFonts w:hint="default" w:ascii="Times New Roman" w:hAnsi="Times New Roman" w:eastAsia="宋体" w:cs="Times New Roman"/>
          <w:sz w:val="24"/>
          <w:highlight w:val="none"/>
        </w:rPr>
      </w:pPr>
      <w:r>
        <w:rPr>
          <w:rFonts w:hint="default" w:ascii="Times New Roman" w:hAnsi="Times New Roman" w:eastAsia="宋体" w:cs="Times New Roman"/>
          <w:sz w:val="24"/>
          <w:highlight w:val="none"/>
          <w:lang w:eastAsia="zh-Hans"/>
        </w:rPr>
        <w:t>生产</w:t>
      </w:r>
      <w:r>
        <w:rPr>
          <w:rFonts w:hint="default" w:ascii="Times New Roman" w:hAnsi="Times New Roman" w:eastAsia="宋体" w:cs="Times New Roman"/>
          <w:sz w:val="24"/>
          <w:highlight w:val="none"/>
        </w:rPr>
        <w:t>1</w:t>
      </w:r>
      <w:r>
        <w:rPr>
          <w:rFonts w:hint="default" w:ascii="Times New Roman" w:hAnsi="Times New Roman" w:cs="Times New Roman"/>
          <w:sz w:val="24"/>
          <w:highlight w:val="none"/>
          <w:lang w:val="en-US" w:eastAsia="zh-CN"/>
        </w:rPr>
        <w:t>套模具</w:t>
      </w:r>
      <w:r>
        <w:rPr>
          <w:rFonts w:hint="default" w:ascii="Times New Roman" w:hAnsi="Times New Roman" w:eastAsia="宋体" w:cs="Times New Roman"/>
          <w:sz w:val="24"/>
          <w:highlight w:val="none"/>
        </w:rPr>
        <w:t>产品的碳足迹为</w:t>
      </w:r>
      <w:r>
        <w:rPr>
          <w:rFonts w:hint="default" w:ascii="Times New Roman" w:hAnsi="Times New Roman" w:cs="Times New Roman"/>
          <w:sz w:val="24"/>
          <w:highlight w:val="none"/>
          <w:lang w:val="en-US" w:eastAsia="zh-CN"/>
        </w:rPr>
        <w:t>1110.20</w:t>
      </w:r>
      <w:r>
        <w:rPr>
          <w:rFonts w:hint="default" w:ascii="Times New Roman" w:hAnsi="Times New Roman" w:eastAsia="宋体" w:cs="Times New Roman"/>
          <w:sz w:val="24"/>
          <w:highlight w:val="none"/>
        </w:rPr>
        <w:t>tCO</w:t>
      </w:r>
      <w:r>
        <w:rPr>
          <w:rFonts w:hint="default" w:ascii="Times New Roman" w:hAnsi="Times New Roman" w:eastAsia="宋体" w:cs="Times New Roman"/>
          <w:sz w:val="24"/>
          <w:highlight w:val="none"/>
          <w:vertAlign w:val="subscript"/>
        </w:rPr>
        <w:fldChar w:fldCharType="begin"/>
      </w:r>
      <w:r>
        <w:rPr>
          <w:rFonts w:hint="default" w:ascii="Times New Roman" w:hAnsi="Times New Roman" w:eastAsia="宋体" w:cs="Times New Roman"/>
          <w:sz w:val="24"/>
          <w:highlight w:val="none"/>
          <w:vertAlign w:val="subscript"/>
        </w:rPr>
        <w:instrText xml:space="preserve"> = 2 \* Arabic \* MERGEFORMAT </w:instrText>
      </w:r>
      <w:r>
        <w:rPr>
          <w:rFonts w:hint="default" w:ascii="Times New Roman" w:hAnsi="Times New Roman" w:eastAsia="宋体" w:cs="Times New Roman"/>
          <w:sz w:val="24"/>
          <w:highlight w:val="none"/>
          <w:vertAlign w:val="subscript"/>
        </w:rPr>
        <w:fldChar w:fldCharType="separate"/>
      </w:r>
      <w:r>
        <w:rPr>
          <w:rFonts w:hint="default" w:ascii="Times New Roman" w:hAnsi="Times New Roman" w:eastAsia="宋体" w:cs="Times New Roman"/>
          <w:sz w:val="24"/>
          <w:highlight w:val="none"/>
          <w:vertAlign w:val="subscript"/>
        </w:rPr>
        <w:t>2</w:t>
      </w:r>
      <w:r>
        <w:rPr>
          <w:rFonts w:hint="default" w:ascii="Times New Roman" w:hAnsi="Times New Roman" w:eastAsia="宋体" w:cs="Times New Roman"/>
          <w:sz w:val="24"/>
          <w:highlight w:val="none"/>
          <w:vertAlign w:val="subscript"/>
        </w:rPr>
        <w:fldChar w:fldCharType="end"/>
      </w:r>
      <w:r>
        <w:rPr>
          <w:rFonts w:hint="default" w:ascii="Times New Roman" w:hAnsi="Times New Roman" w:eastAsia="宋体" w:cs="Times New Roman"/>
          <w:sz w:val="24"/>
          <w:highlight w:val="none"/>
        </w:rPr>
        <w:t>eq，其中</w:t>
      </w:r>
      <w:r>
        <w:rPr>
          <w:rFonts w:hint="default" w:ascii="Times New Roman" w:hAnsi="Times New Roman" w:eastAsia="宋体" w:cs="Times New Roman"/>
          <w:sz w:val="24"/>
          <w:highlight w:val="none"/>
          <w:lang w:val="en-US" w:eastAsia="zh-CN"/>
        </w:rPr>
        <w:t>能源</w:t>
      </w:r>
      <w:r>
        <w:rPr>
          <w:rFonts w:hint="default" w:ascii="Times New Roman" w:hAnsi="Times New Roman" w:eastAsia="宋体" w:cs="Times New Roman"/>
          <w:sz w:val="24"/>
          <w:highlight w:val="none"/>
        </w:rPr>
        <w:t>消耗占比</w:t>
      </w:r>
      <w:r>
        <w:rPr>
          <w:rFonts w:hint="default" w:ascii="Times New Roman" w:hAnsi="Times New Roman" w:cs="Times New Roman"/>
          <w:sz w:val="24"/>
          <w:highlight w:val="none"/>
          <w:lang w:val="en-US" w:eastAsia="zh-CN"/>
        </w:rPr>
        <w:t>51.40</w:t>
      </w:r>
      <w:r>
        <w:rPr>
          <w:rFonts w:hint="default" w:ascii="Times New Roman" w:hAnsi="Times New Roman" w:eastAsia="宋体" w:cs="Times New Roman"/>
          <w:sz w:val="24"/>
          <w:highlight w:val="none"/>
        </w:rPr>
        <w:t>%</w:t>
      </w:r>
      <w:r>
        <w:rPr>
          <w:rFonts w:hint="default" w:ascii="Times New Roman" w:hAnsi="Times New Roman" w:cs="Times New Roman"/>
          <w:sz w:val="24"/>
          <w:highlight w:val="none"/>
          <w:lang w:eastAsia="zh-CN"/>
        </w:rPr>
        <w:t>，</w:t>
      </w:r>
      <w:r>
        <w:rPr>
          <w:rFonts w:hint="default" w:ascii="Times New Roman" w:hAnsi="Times New Roman" w:eastAsia="宋体" w:cs="Times New Roman"/>
          <w:sz w:val="24"/>
          <w:highlight w:val="none"/>
          <w:lang w:val="en-US" w:eastAsia="zh-CN"/>
        </w:rPr>
        <w:t>原辅材料消耗占</w:t>
      </w:r>
      <w:r>
        <w:rPr>
          <w:rFonts w:hint="default" w:ascii="Times New Roman" w:hAnsi="Times New Roman" w:cs="Times New Roman"/>
          <w:sz w:val="24"/>
          <w:highlight w:val="none"/>
          <w:lang w:val="en-US" w:eastAsia="zh-CN"/>
        </w:rPr>
        <w:t>28.03</w:t>
      </w:r>
      <w:r>
        <w:rPr>
          <w:rFonts w:hint="default" w:ascii="Times New Roman" w:hAnsi="Times New Roman" w:eastAsia="宋体" w:cs="Times New Roman"/>
          <w:sz w:val="24"/>
          <w:highlight w:val="none"/>
          <w:lang w:val="en-US" w:eastAsia="zh-CN"/>
        </w:rPr>
        <w:t>%，</w:t>
      </w:r>
      <w:r>
        <w:rPr>
          <w:rFonts w:hint="default" w:ascii="Times New Roman" w:hAnsi="Times New Roman" w:eastAsia="宋体" w:cs="Times New Roman"/>
          <w:sz w:val="24"/>
          <w:highlight w:val="none"/>
        </w:rPr>
        <w:t>，</w:t>
      </w:r>
      <w:r>
        <w:rPr>
          <w:rFonts w:hint="default" w:ascii="Times New Roman" w:hAnsi="Times New Roman" w:eastAsia="宋体" w:cs="Times New Roman"/>
          <w:sz w:val="24"/>
          <w:highlight w:val="none"/>
          <w:lang w:val="en-US" w:eastAsia="zh-CN"/>
        </w:rPr>
        <w:t>运输占</w:t>
      </w:r>
      <w:r>
        <w:rPr>
          <w:rFonts w:hint="default" w:ascii="Times New Roman" w:hAnsi="Times New Roman" w:cs="Times New Roman"/>
          <w:sz w:val="24"/>
          <w:highlight w:val="none"/>
          <w:lang w:val="en-US" w:eastAsia="zh-CN"/>
        </w:rPr>
        <w:t>20.57</w:t>
      </w:r>
      <w:r>
        <w:rPr>
          <w:rFonts w:hint="default" w:ascii="Times New Roman" w:hAnsi="Times New Roman" w:eastAsia="宋体" w:cs="Times New Roman"/>
          <w:sz w:val="24"/>
          <w:highlight w:val="none"/>
          <w:lang w:eastAsia="zh-Hans"/>
        </w:rPr>
        <w:t>%</w:t>
      </w:r>
      <w:r>
        <w:rPr>
          <w:rFonts w:hint="default" w:ascii="Times New Roman" w:hAnsi="Times New Roman" w:eastAsia="宋体" w:cs="Times New Roman"/>
          <w:sz w:val="24"/>
          <w:highlight w:val="none"/>
        </w:rPr>
        <w:t>。</w:t>
      </w:r>
    </w:p>
    <w:p w14:paraId="226A1504">
      <w:pPr>
        <w:spacing w:line="360" w:lineRule="auto"/>
        <w:ind w:firstLine="480" w:firstLineChars="200"/>
        <w:jc w:val="left"/>
        <w:rPr>
          <w:rFonts w:hint="eastAsia" w:ascii="宋体" w:hAnsi="宋体" w:eastAsia="宋体" w:cs="宋体"/>
          <w:sz w:val="24"/>
          <w:highlight w:val="none"/>
        </w:rPr>
      </w:pPr>
      <w:r>
        <w:rPr>
          <w:rFonts w:hint="default" w:ascii="Times New Roman" w:hAnsi="Times New Roman" w:eastAsia="宋体" w:cs="Times New Roman"/>
          <w:sz w:val="24"/>
          <w:highlight w:val="none"/>
        </w:rPr>
        <w:t>通过以上分析可知，</w:t>
      </w:r>
      <w:r>
        <w:rPr>
          <w:rFonts w:hint="default" w:ascii="Times New Roman" w:hAnsi="Times New Roman" w:eastAsia="宋体" w:cs="Times New Roman"/>
          <w:sz w:val="24"/>
          <w:highlight w:val="none"/>
          <w:lang w:val="en-US" w:eastAsia="zh-CN"/>
        </w:rPr>
        <w:t>原材料消耗</w:t>
      </w:r>
      <w:r>
        <w:rPr>
          <w:rFonts w:hint="default" w:ascii="Times New Roman" w:hAnsi="Times New Roman" w:eastAsia="宋体" w:cs="Times New Roman"/>
          <w:sz w:val="24"/>
          <w:highlight w:val="none"/>
        </w:rPr>
        <w:t>对碳足迹的贡</w:t>
      </w:r>
      <w:r>
        <w:rPr>
          <w:rFonts w:hint="eastAsia" w:ascii="宋体" w:hAnsi="宋体" w:eastAsia="宋体" w:cs="宋体"/>
          <w:sz w:val="24"/>
          <w:highlight w:val="none"/>
        </w:rPr>
        <w:t>献占主导，为增强品牌竞争力、减少产品碳足迹，建议如下：</w:t>
      </w:r>
    </w:p>
    <w:p w14:paraId="083774BC">
      <w:pPr>
        <w:spacing w:line="360" w:lineRule="auto"/>
        <w:ind w:firstLine="480" w:firstLineChars="200"/>
        <w:jc w:val="left"/>
        <w:rPr>
          <w:rFonts w:hint="eastAsia" w:ascii="宋体" w:hAnsi="宋体" w:eastAsia="宋体" w:cs="宋体"/>
          <w:sz w:val="24"/>
          <w:highlight w:val="none"/>
        </w:rPr>
      </w:pPr>
      <w:r>
        <w:rPr>
          <w:rFonts w:hint="eastAsia" w:ascii="宋体" w:hAnsi="宋体" w:eastAsia="宋体" w:cs="宋体"/>
          <w:sz w:val="24"/>
          <w:highlight w:val="none"/>
        </w:rPr>
        <w:t>1、</w:t>
      </w:r>
      <w:r>
        <w:rPr>
          <w:rFonts w:hint="eastAsia" w:ascii="宋体" w:hAnsi="宋体" w:eastAsia="宋体" w:cs="宋体"/>
          <w:sz w:val="24"/>
          <w:highlight w:val="none"/>
          <w:lang w:val="en-US" w:eastAsia="zh-CN"/>
        </w:rPr>
        <w:t>优化用能结构，加大可再生能源的利用</w:t>
      </w:r>
      <w:r>
        <w:rPr>
          <w:rFonts w:hint="eastAsia" w:ascii="宋体" w:hAnsi="宋体" w:eastAsia="宋体" w:cs="宋体"/>
          <w:sz w:val="24"/>
          <w:highlight w:val="none"/>
        </w:rPr>
        <w:t>；</w:t>
      </w:r>
    </w:p>
    <w:p w14:paraId="2E99AB62">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eastAsia="宋体" w:cs="宋体"/>
          <w:sz w:val="24"/>
          <w:highlight w:val="none"/>
        </w:rPr>
        <w:t>2、在原</w:t>
      </w:r>
      <w:r>
        <w:rPr>
          <w:rFonts w:hint="eastAsia" w:ascii="宋体" w:hAnsi="宋体" w:eastAsia="宋体" w:cs="宋体"/>
          <w:sz w:val="24"/>
          <w:highlight w:val="none"/>
          <w:lang w:val="en-US" w:eastAsia="zh-CN"/>
        </w:rPr>
        <w:t>材</w:t>
      </w:r>
      <w:r>
        <w:rPr>
          <w:rFonts w:hint="eastAsia" w:ascii="宋体" w:hAnsi="宋体" w:eastAsia="宋体" w:cs="宋体"/>
          <w:sz w:val="24"/>
          <w:highlight w:val="none"/>
        </w:rPr>
        <w:t>料价位差别不大的情况下，尽量选取原材料碳足迹小的供应商</w:t>
      </w:r>
      <w:r>
        <w:rPr>
          <w:rFonts w:hint="eastAsia" w:ascii="宋体" w:hAnsi="宋体" w:eastAsia="宋体" w:cs="宋体"/>
          <w:sz w:val="24"/>
          <w:highlight w:val="none"/>
          <w:lang w:eastAsia="zh-CN"/>
        </w:rPr>
        <w:t>；</w:t>
      </w:r>
    </w:p>
    <w:p w14:paraId="6FD48E4F">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3、重点巡查各耗电设备，定期进行设备检点，必要时对相关落后高耗能设备进行淘汰更换，减少电力消耗；</w:t>
      </w:r>
    </w:p>
    <w:p w14:paraId="52AD2980">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4、持续推进绿色低碳发展意识，坚定树立企业可持续发展原则，加强生命周期理念的宣传和实践；</w:t>
      </w:r>
    </w:p>
    <w:p w14:paraId="60011C84">
      <w:pPr>
        <w:pStyle w:val="3"/>
        <w:spacing w:line="360" w:lineRule="auto"/>
        <w:rPr>
          <w:rFonts w:hint="eastAsia" w:ascii="宋体" w:hAnsi="宋体" w:eastAsia="宋体" w:cs="宋体"/>
          <w:sz w:val="24"/>
          <w:highlight w:val="none"/>
          <w:lang w:val="en-US" w:eastAsia="zh-CN"/>
        </w:rPr>
      </w:pPr>
      <w:r>
        <w:rPr>
          <w:rFonts w:hint="eastAsia" w:ascii="宋体" w:hAnsi="宋体" w:eastAsia="宋体" w:cs="宋体"/>
          <w:sz w:val="24"/>
          <w:highlight w:val="none"/>
          <w:lang w:val="en-US" w:eastAsia="zh-CN"/>
        </w:rPr>
        <w:t>5、推行节能降耗培训工作，提升员工节能降耗意识，挖掘内部节能潜力，通过设备改进和工艺优化等措施，减少能源消耗，降低温室气体排放量。</w:t>
      </w:r>
    </w:p>
    <w:p w14:paraId="5EAA950F">
      <w:pPr>
        <w:jc w:val="left"/>
        <w:rPr>
          <w:rFonts w:hint="eastAsia" w:ascii="宋体" w:hAnsi="宋体" w:eastAsia="宋体" w:cs="宋体"/>
          <w:b/>
          <w:bCs/>
          <w:sz w:val="28"/>
          <w:highlight w:val="none"/>
        </w:rPr>
      </w:pPr>
      <w:r>
        <w:rPr>
          <w:rFonts w:hint="eastAsia" w:ascii="宋体" w:hAnsi="宋体" w:eastAsia="宋体" w:cs="宋体"/>
          <w:b/>
          <w:bCs/>
          <w:sz w:val="28"/>
          <w:highlight w:val="none"/>
        </w:rPr>
        <w:t>6.结语</w:t>
      </w:r>
    </w:p>
    <w:p w14:paraId="51CF19D9">
      <w:pPr>
        <w:spacing w:line="360" w:lineRule="auto"/>
        <w:ind w:firstLine="480" w:firstLineChars="200"/>
        <w:jc w:val="left"/>
        <w:rPr>
          <w:rFonts w:hint="eastAsia" w:ascii="宋体" w:hAnsi="宋体" w:eastAsia="宋体" w:cs="宋体"/>
          <w:sz w:val="24"/>
        </w:rPr>
      </w:pPr>
      <w:r>
        <w:rPr>
          <w:rFonts w:hint="eastAsia" w:ascii="宋体" w:hAnsi="宋体" w:eastAsia="宋体" w:cs="宋体"/>
          <w:sz w:val="24"/>
        </w:rPr>
        <w:t>低碳发展是企业未来生存和发展的必然选择，企业进行产品碳足迹的核算是企业实现温室气体管理，制定低碳发展战略的第一步。通过产品生命周期的碳足迹核算，企业可以了解排放源，明确各生产环节的排放量，为制定合理的减排目标和发展战略打下基础。</w:t>
      </w:r>
    </w:p>
    <w:p w14:paraId="101F0DA7">
      <w:pPr>
        <w:rPr>
          <w:rFonts w:hint="eastAsia" w:ascii="宋体" w:hAnsi="宋体" w:eastAsia="宋体" w:cs="宋体"/>
          <w:sz w:val="28"/>
        </w:rPr>
      </w:pPr>
    </w:p>
    <w:sectPr>
      <w:footerReference r:id="rId3" w:type="default"/>
      <w:pgSz w:w="11906" w:h="16838"/>
      <w:pgMar w:top="1440" w:right="1800" w:bottom="1440" w:left="1800"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828D10">
    <w:pPr>
      <w:pStyle w:val="7"/>
      <w:jc w:val="center"/>
    </w:pPr>
    <w:r>
      <w:rPr>
        <w:sz w:val="21"/>
        <w:szCs w:val="21"/>
      </w:rPr>
      <w:fldChar w:fldCharType="begin"/>
    </w:r>
    <w:r>
      <w:rPr>
        <w:sz w:val="21"/>
        <w:szCs w:val="21"/>
      </w:rPr>
      <w:instrText xml:space="preserve"> PAGE   \* MERGEFORMAT </w:instrText>
    </w:r>
    <w:r>
      <w:rPr>
        <w:sz w:val="21"/>
        <w:szCs w:val="21"/>
      </w:rPr>
      <w:fldChar w:fldCharType="separate"/>
    </w:r>
    <w:r>
      <w:rPr>
        <w:sz w:val="21"/>
        <w:szCs w:val="21"/>
        <w:lang w:val="zh-CN"/>
      </w:rPr>
      <w:t>7</w:t>
    </w:r>
    <w:r>
      <w:rPr>
        <w:sz w:val="21"/>
        <w:szCs w:val="21"/>
      </w:rPr>
      <w:fldChar w:fldCharType="end"/>
    </w:r>
  </w:p>
  <w:p w14:paraId="21A46EB5">
    <w:pPr>
      <w:pStyle w:val="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010F99"/>
    <w:multiLevelType w:val="singleLevel"/>
    <w:tmpl w:val="FE010F99"/>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hYjNmZDlhYWFlMDE4NGQ5M2EzNmEzODQ1ODNlNjMifQ=="/>
  </w:docVars>
  <w:rsids>
    <w:rsidRoot w:val="00172A27"/>
    <w:rsid w:val="000358CF"/>
    <w:rsid w:val="00085C68"/>
    <w:rsid w:val="000D52E4"/>
    <w:rsid w:val="000F1478"/>
    <w:rsid w:val="00132D88"/>
    <w:rsid w:val="00144F7D"/>
    <w:rsid w:val="00172A27"/>
    <w:rsid w:val="001B0711"/>
    <w:rsid w:val="001D192A"/>
    <w:rsid w:val="001E5A4B"/>
    <w:rsid w:val="0020328C"/>
    <w:rsid w:val="00293B53"/>
    <w:rsid w:val="002D1C97"/>
    <w:rsid w:val="003819BC"/>
    <w:rsid w:val="005C046F"/>
    <w:rsid w:val="006206B0"/>
    <w:rsid w:val="00695EDD"/>
    <w:rsid w:val="006C2AEA"/>
    <w:rsid w:val="007D4B26"/>
    <w:rsid w:val="007E7C96"/>
    <w:rsid w:val="00813547"/>
    <w:rsid w:val="00820722"/>
    <w:rsid w:val="0086587C"/>
    <w:rsid w:val="00906F6D"/>
    <w:rsid w:val="00931FEC"/>
    <w:rsid w:val="00966D19"/>
    <w:rsid w:val="009E0A4B"/>
    <w:rsid w:val="00A0082C"/>
    <w:rsid w:val="00A47B02"/>
    <w:rsid w:val="00AD62CD"/>
    <w:rsid w:val="00AF4560"/>
    <w:rsid w:val="00B3502D"/>
    <w:rsid w:val="00B5443F"/>
    <w:rsid w:val="00B657B7"/>
    <w:rsid w:val="00B703AA"/>
    <w:rsid w:val="00C20748"/>
    <w:rsid w:val="00CC16E0"/>
    <w:rsid w:val="00D2571A"/>
    <w:rsid w:val="00D56607"/>
    <w:rsid w:val="00D6455A"/>
    <w:rsid w:val="00DC6AE4"/>
    <w:rsid w:val="00E21004"/>
    <w:rsid w:val="00E36631"/>
    <w:rsid w:val="00F36B24"/>
    <w:rsid w:val="00F619F1"/>
    <w:rsid w:val="00F80DB8"/>
    <w:rsid w:val="00FD4766"/>
    <w:rsid w:val="0200793B"/>
    <w:rsid w:val="033B33C5"/>
    <w:rsid w:val="03C02175"/>
    <w:rsid w:val="03C055D4"/>
    <w:rsid w:val="04A516FA"/>
    <w:rsid w:val="088B5E2C"/>
    <w:rsid w:val="08B3277E"/>
    <w:rsid w:val="0B673A51"/>
    <w:rsid w:val="0D1A3FA7"/>
    <w:rsid w:val="0E482DD0"/>
    <w:rsid w:val="117E581C"/>
    <w:rsid w:val="125D2D5E"/>
    <w:rsid w:val="12903BF7"/>
    <w:rsid w:val="136A0B16"/>
    <w:rsid w:val="15022B67"/>
    <w:rsid w:val="16300397"/>
    <w:rsid w:val="17C70CC0"/>
    <w:rsid w:val="19707E77"/>
    <w:rsid w:val="19EB2372"/>
    <w:rsid w:val="1A5D1977"/>
    <w:rsid w:val="1DB7071D"/>
    <w:rsid w:val="1E7F1D43"/>
    <w:rsid w:val="1F2B1ECA"/>
    <w:rsid w:val="1FEBDD5D"/>
    <w:rsid w:val="204E38D9"/>
    <w:rsid w:val="20EA051C"/>
    <w:rsid w:val="21DE7BFD"/>
    <w:rsid w:val="25175297"/>
    <w:rsid w:val="25CD1E0C"/>
    <w:rsid w:val="25DFF65C"/>
    <w:rsid w:val="26B6109A"/>
    <w:rsid w:val="2909286D"/>
    <w:rsid w:val="2B744CAC"/>
    <w:rsid w:val="2C7DC6ED"/>
    <w:rsid w:val="2E3610EB"/>
    <w:rsid w:val="2FD6453F"/>
    <w:rsid w:val="31694A6F"/>
    <w:rsid w:val="31957CCC"/>
    <w:rsid w:val="31FF97D9"/>
    <w:rsid w:val="325C7AFC"/>
    <w:rsid w:val="33574D5E"/>
    <w:rsid w:val="33BF1B11"/>
    <w:rsid w:val="33CF3883"/>
    <w:rsid w:val="346F4329"/>
    <w:rsid w:val="366977C5"/>
    <w:rsid w:val="36BB5BB8"/>
    <w:rsid w:val="371E67E5"/>
    <w:rsid w:val="37713C4A"/>
    <w:rsid w:val="37992711"/>
    <w:rsid w:val="39AF615D"/>
    <w:rsid w:val="3B5FBE28"/>
    <w:rsid w:val="3BB94A84"/>
    <w:rsid w:val="3BBF4BDF"/>
    <w:rsid w:val="3BEF384C"/>
    <w:rsid w:val="3CEDF3BD"/>
    <w:rsid w:val="3E8B73CF"/>
    <w:rsid w:val="3EBFFB82"/>
    <w:rsid w:val="3FBF989C"/>
    <w:rsid w:val="3FDD1070"/>
    <w:rsid w:val="3FE936DD"/>
    <w:rsid w:val="3FEB0BF5"/>
    <w:rsid w:val="42C267AB"/>
    <w:rsid w:val="43D7F8A9"/>
    <w:rsid w:val="44142EE5"/>
    <w:rsid w:val="47A61FBE"/>
    <w:rsid w:val="4970325B"/>
    <w:rsid w:val="4AAC0541"/>
    <w:rsid w:val="4AB65576"/>
    <w:rsid w:val="4ABF4DCB"/>
    <w:rsid w:val="4AFD2237"/>
    <w:rsid w:val="4DAD6D75"/>
    <w:rsid w:val="4DBA7306"/>
    <w:rsid w:val="4E3F2257"/>
    <w:rsid w:val="4ECB5CE6"/>
    <w:rsid w:val="4F761ADB"/>
    <w:rsid w:val="4F8BBAF5"/>
    <w:rsid w:val="4FE15599"/>
    <w:rsid w:val="4FFF512C"/>
    <w:rsid w:val="503B625B"/>
    <w:rsid w:val="50C14BE4"/>
    <w:rsid w:val="512C1B2C"/>
    <w:rsid w:val="523D692B"/>
    <w:rsid w:val="529478DC"/>
    <w:rsid w:val="537D72D2"/>
    <w:rsid w:val="54B76168"/>
    <w:rsid w:val="555A427E"/>
    <w:rsid w:val="55D34B2B"/>
    <w:rsid w:val="55FF46D5"/>
    <w:rsid w:val="56EF7B4E"/>
    <w:rsid w:val="577B227D"/>
    <w:rsid w:val="57A7251E"/>
    <w:rsid w:val="57BC1CEB"/>
    <w:rsid w:val="583515F8"/>
    <w:rsid w:val="592E2757"/>
    <w:rsid w:val="59D91322"/>
    <w:rsid w:val="59E80A54"/>
    <w:rsid w:val="5A5C386E"/>
    <w:rsid w:val="5BD25163"/>
    <w:rsid w:val="5D3F017F"/>
    <w:rsid w:val="5EAA2DE6"/>
    <w:rsid w:val="5EFF1A88"/>
    <w:rsid w:val="5F4D54F9"/>
    <w:rsid w:val="5F7BDD52"/>
    <w:rsid w:val="5F7F612F"/>
    <w:rsid w:val="5FB32C87"/>
    <w:rsid w:val="5FDB17E3"/>
    <w:rsid w:val="5FF218C5"/>
    <w:rsid w:val="5FF74533"/>
    <w:rsid w:val="5FF7A968"/>
    <w:rsid w:val="649B426E"/>
    <w:rsid w:val="657FCD21"/>
    <w:rsid w:val="660E3012"/>
    <w:rsid w:val="66311453"/>
    <w:rsid w:val="66E3A870"/>
    <w:rsid w:val="67C526A2"/>
    <w:rsid w:val="6AEFD85A"/>
    <w:rsid w:val="6BFF0294"/>
    <w:rsid w:val="6C2917C6"/>
    <w:rsid w:val="6C7FC5D9"/>
    <w:rsid w:val="6D7C813E"/>
    <w:rsid w:val="6DBE1CD7"/>
    <w:rsid w:val="6DF32827"/>
    <w:rsid w:val="6F678E07"/>
    <w:rsid w:val="6FC7F955"/>
    <w:rsid w:val="6FE66EDD"/>
    <w:rsid w:val="71BBECD8"/>
    <w:rsid w:val="73376093"/>
    <w:rsid w:val="74275AAB"/>
    <w:rsid w:val="747FD8E0"/>
    <w:rsid w:val="75BE4662"/>
    <w:rsid w:val="75EB9B88"/>
    <w:rsid w:val="75FDCB60"/>
    <w:rsid w:val="76BE9E85"/>
    <w:rsid w:val="7730C593"/>
    <w:rsid w:val="775E509E"/>
    <w:rsid w:val="775F8127"/>
    <w:rsid w:val="77A06F50"/>
    <w:rsid w:val="77D34E06"/>
    <w:rsid w:val="77FD4972"/>
    <w:rsid w:val="78F96963"/>
    <w:rsid w:val="7937698E"/>
    <w:rsid w:val="7975AC4A"/>
    <w:rsid w:val="7AE854CE"/>
    <w:rsid w:val="7B4F69E8"/>
    <w:rsid w:val="7BB358F5"/>
    <w:rsid w:val="7BB390B1"/>
    <w:rsid w:val="7BEBCC1B"/>
    <w:rsid w:val="7D739E01"/>
    <w:rsid w:val="7DBBE777"/>
    <w:rsid w:val="7DDFE294"/>
    <w:rsid w:val="7DEF7EB4"/>
    <w:rsid w:val="7E7ED4DA"/>
    <w:rsid w:val="7E9BCF0D"/>
    <w:rsid w:val="7EBF48B1"/>
    <w:rsid w:val="7EFFDC2D"/>
    <w:rsid w:val="7F77AA00"/>
    <w:rsid w:val="7F7F36CF"/>
    <w:rsid w:val="7FA7DF11"/>
    <w:rsid w:val="7FD402A7"/>
    <w:rsid w:val="7FDF3CFD"/>
    <w:rsid w:val="7FEDF7B8"/>
    <w:rsid w:val="7FF7946C"/>
    <w:rsid w:val="7FF8A907"/>
    <w:rsid w:val="8FFFDA34"/>
    <w:rsid w:val="95FFA395"/>
    <w:rsid w:val="9A7E413F"/>
    <w:rsid w:val="9FBDDAC8"/>
    <w:rsid w:val="AA6F6D02"/>
    <w:rsid w:val="B6E73552"/>
    <w:rsid w:val="B7A7FAF8"/>
    <w:rsid w:val="B7DFFD48"/>
    <w:rsid w:val="BBFF0068"/>
    <w:rsid w:val="BCFEB7A4"/>
    <w:rsid w:val="BE3DB476"/>
    <w:rsid w:val="BEB3C197"/>
    <w:rsid w:val="BEF70B73"/>
    <w:rsid w:val="BF55FF05"/>
    <w:rsid w:val="BFC98E4A"/>
    <w:rsid w:val="C7DBF46F"/>
    <w:rsid w:val="CBFF8671"/>
    <w:rsid w:val="CF67EFC2"/>
    <w:rsid w:val="CFE609C6"/>
    <w:rsid w:val="CFFBA242"/>
    <w:rsid w:val="D4FE9DC8"/>
    <w:rsid w:val="D5DE96CD"/>
    <w:rsid w:val="D5E38A51"/>
    <w:rsid w:val="D5FC851A"/>
    <w:rsid w:val="D77FABCA"/>
    <w:rsid w:val="D7F196C1"/>
    <w:rsid w:val="D9C826B2"/>
    <w:rsid w:val="DBFB6E08"/>
    <w:rsid w:val="DCFF41A5"/>
    <w:rsid w:val="DFEE0180"/>
    <w:rsid w:val="E36EF76B"/>
    <w:rsid w:val="E5D710FB"/>
    <w:rsid w:val="EB6AE347"/>
    <w:rsid w:val="EDF73C7F"/>
    <w:rsid w:val="EEED496E"/>
    <w:rsid w:val="EFEB0F9B"/>
    <w:rsid w:val="EFEFD35A"/>
    <w:rsid w:val="EFFD7420"/>
    <w:rsid w:val="EFFF0642"/>
    <w:rsid w:val="F1861E1C"/>
    <w:rsid w:val="F4EDCA6C"/>
    <w:rsid w:val="F5DD0117"/>
    <w:rsid w:val="F7ECC025"/>
    <w:rsid w:val="F7FA29BF"/>
    <w:rsid w:val="F7FF631E"/>
    <w:rsid w:val="F7FFAD9B"/>
    <w:rsid w:val="F8F7262F"/>
    <w:rsid w:val="FAFB997D"/>
    <w:rsid w:val="FBABFAB6"/>
    <w:rsid w:val="FBEC4E39"/>
    <w:rsid w:val="FCB96BBF"/>
    <w:rsid w:val="FCFF6CE0"/>
    <w:rsid w:val="FDBFEE35"/>
    <w:rsid w:val="FDEF1F4D"/>
    <w:rsid w:val="FEDDE9A6"/>
    <w:rsid w:val="FEF2B901"/>
    <w:rsid w:val="FF3F0B3D"/>
    <w:rsid w:val="FFA70E21"/>
    <w:rsid w:val="FFAA2433"/>
    <w:rsid w:val="FFBC86FB"/>
    <w:rsid w:val="FFD94507"/>
    <w:rsid w:val="FFEB3C63"/>
    <w:rsid w:val="FFF45EEF"/>
    <w:rsid w:val="FFFBA818"/>
    <w:rsid w:val="FFFF5DD7"/>
    <w:rsid w:val="FFFFFC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2">
    <w:name w:val="Default Paragraph Font"/>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customStyle="1" w:styleId="2">
    <w:name w:val="Fließtext"/>
    <w:basedOn w:val="1"/>
    <w:autoRedefine/>
    <w:qFormat/>
    <w:uiPriority w:val="0"/>
    <w:pPr>
      <w:overflowPunct w:val="0"/>
      <w:autoSpaceDE w:val="0"/>
      <w:autoSpaceDN w:val="0"/>
      <w:adjustRightInd w:val="0"/>
      <w:textAlignment w:val="baseline"/>
    </w:pPr>
    <w:rPr>
      <w:kern w:val="28"/>
      <w:szCs w:val="20"/>
    </w:rPr>
  </w:style>
  <w:style w:type="paragraph" w:styleId="3">
    <w:name w:val="Normal Indent"/>
    <w:basedOn w:val="1"/>
    <w:autoRedefine/>
    <w:qFormat/>
    <w:uiPriority w:val="0"/>
    <w:pPr>
      <w:autoSpaceDE w:val="0"/>
      <w:autoSpaceDN w:val="0"/>
      <w:adjustRightInd w:val="0"/>
      <w:ind w:firstLine="420"/>
      <w:jc w:val="left"/>
      <w:textAlignment w:val="baseline"/>
    </w:pPr>
    <w:rPr>
      <w:rFonts w:ascii="宋体"/>
      <w:kern w:val="0"/>
      <w:sz w:val="34"/>
      <w:szCs w:val="20"/>
    </w:rPr>
  </w:style>
  <w:style w:type="paragraph" w:styleId="4">
    <w:name w:val="annotation text"/>
    <w:basedOn w:val="1"/>
    <w:autoRedefine/>
    <w:unhideWhenUsed/>
    <w:qFormat/>
    <w:uiPriority w:val="99"/>
    <w:pPr>
      <w:jc w:val="left"/>
    </w:pPr>
  </w:style>
  <w:style w:type="paragraph" w:styleId="5">
    <w:name w:val="Body Text Indent"/>
    <w:basedOn w:val="1"/>
    <w:autoRedefine/>
    <w:unhideWhenUsed/>
    <w:qFormat/>
    <w:uiPriority w:val="0"/>
    <w:pPr>
      <w:ind w:firstLine="420"/>
    </w:pPr>
    <w:rPr>
      <w:szCs w:val="20"/>
    </w:rPr>
  </w:style>
  <w:style w:type="paragraph" w:styleId="6">
    <w:name w:val="Balloon Text"/>
    <w:basedOn w:val="1"/>
    <w:link w:val="19"/>
    <w:autoRedefine/>
    <w:qFormat/>
    <w:uiPriority w:val="0"/>
    <w:rPr>
      <w:sz w:val="18"/>
      <w:szCs w:val="18"/>
    </w:rPr>
  </w:style>
  <w:style w:type="paragraph" w:styleId="7">
    <w:name w:val="footer"/>
    <w:basedOn w:val="1"/>
    <w:link w:val="18"/>
    <w:autoRedefine/>
    <w:qFormat/>
    <w:uiPriority w:val="0"/>
    <w:pPr>
      <w:tabs>
        <w:tab w:val="center" w:pos="4153"/>
        <w:tab w:val="right" w:pos="8306"/>
      </w:tabs>
      <w:snapToGrid w:val="0"/>
      <w:jc w:val="left"/>
    </w:pPr>
    <w:rPr>
      <w:sz w:val="18"/>
    </w:rPr>
  </w:style>
  <w:style w:type="paragraph" w:styleId="8">
    <w:name w:val="header"/>
    <w:basedOn w:val="1"/>
    <w:link w:val="17"/>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9">
    <w:name w:val="Body Text First Indent 2"/>
    <w:basedOn w:val="5"/>
    <w:next w:val="1"/>
    <w:autoRedefine/>
    <w:qFormat/>
    <w:uiPriority w:val="0"/>
    <w:pPr>
      <w:ind w:firstLine="200" w:firstLineChars="200"/>
    </w:pPr>
  </w:style>
  <w:style w:type="table" w:styleId="11">
    <w:name w:val="Table Grid"/>
    <w:basedOn w:val="10"/>
    <w:autoRedefine/>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basedOn w:val="12"/>
    <w:qFormat/>
    <w:uiPriority w:val="22"/>
    <w:rPr>
      <w:b/>
    </w:rPr>
  </w:style>
  <w:style w:type="character" w:styleId="14">
    <w:name w:val="Emphasis"/>
    <w:basedOn w:val="12"/>
    <w:autoRedefine/>
    <w:qFormat/>
    <w:uiPriority w:val="20"/>
    <w:rPr>
      <w:i/>
    </w:rPr>
  </w:style>
  <w:style w:type="character" w:styleId="15">
    <w:name w:val="annotation reference"/>
    <w:basedOn w:val="12"/>
    <w:autoRedefine/>
    <w:semiHidden/>
    <w:unhideWhenUsed/>
    <w:qFormat/>
    <w:uiPriority w:val="99"/>
    <w:rPr>
      <w:sz w:val="21"/>
      <w:szCs w:val="21"/>
    </w:rPr>
  </w:style>
  <w:style w:type="paragraph" w:customStyle="1" w:styleId="16">
    <w:name w:val="Default"/>
    <w:autoRedefine/>
    <w:qFormat/>
    <w:uiPriority w:val="0"/>
    <w:pPr>
      <w:widowControl w:val="0"/>
      <w:autoSpaceDE w:val="0"/>
      <w:autoSpaceDN w:val="0"/>
      <w:adjustRightInd w:val="0"/>
      <w:jc w:val="center"/>
    </w:pPr>
    <w:rPr>
      <w:rFonts w:ascii="黑体" w:hAnsi="Times New Roman" w:eastAsia="黑体" w:cs="黑体"/>
      <w:color w:val="000000"/>
      <w:sz w:val="24"/>
      <w:szCs w:val="24"/>
      <w:lang w:val="en-US" w:eastAsia="zh-CN" w:bidi="ar-SA"/>
    </w:rPr>
  </w:style>
  <w:style w:type="character" w:customStyle="1" w:styleId="17">
    <w:name w:val="页眉 Char"/>
    <w:link w:val="8"/>
    <w:autoRedefine/>
    <w:qFormat/>
    <w:uiPriority w:val="0"/>
    <w:rPr>
      <w:sz w:val="18"/>
      <w:szCs w:val="18"/>
    </w:rPr>
  </w:style>
  <w:style w:type="character" w:customStyle="1" w:styleId="18">
    <w:name w:val="页脚 Char"/>
    <w:link w:val="7"/>
    <w:autoRedefine/>
    <w:qFormat/>
    <w:uiPriority w:val="0"/>
    <w:rPr>
      <w:kern w:val="2"/>
      <w:sz w:val="18"/>
    </w:rPr>
  </w:style>
  <w:style w:type="character" w:customStyle="1" w:styleId="19">
    <w:name w:val="批注框文本 Char"/>
    <w:link w:val="6"/>
    <w:autoRedefine/>
    <w:qFormat/>
    <w:uiPriority w:val="0"/>
    <w:rPr>
      <w:rFonts w:cs="Times New Roman"/>
      <w:kern w:val="2"/>
      <w:sz w:val="18"/>
      <w:szCs w:val="18"/>
    </w:rPr>
  </w:style>
  <w:style w:type="character" w:customStyle="1" w:styleId="20">
    <w:name w:val="font11"/>
    <w:basedOn w:val="12"/>
    <w:autoRedefine/>
    <w:qFormat/>
    <w:uiPriority w:val="0"/>
    <w:rPr>
      <w:rFonts w:hint="eastAsia" w:ascii="宋体" w:hAnsi="宋体" w:eastAsia="宋体" w:cs="宋体"/>
      <w:color w:val="000000"/>
      <w:sz w:val="22"/>
      <w:szCs w:val="22"/>
      <w:u w:val="none"/>
    </w:rPr>
  </w:style>
  <w:style w:type="character" w:customStyle="1" w:styleId="21">
    <w:name w:val="font31"/>
    <w:basedOn w:val="12"/>
    <w:autoRedefine/>
    <w:qFormat/>
    <w:uiPriority w:val="0"/>
    <w:rPr>
      <w:rFonts w:hint="default" w:ascii="仿宋_GB2312" w:eastAsia="仿宋_GB2312" w:cs="仿宋_GB2312"/>
      <w:color w:val="000000"/>
      <w:sz w:val="24"/>
      <w:szCs w:val="24"/>
      <w:u w:val="none"/>
    </w:rPr>
  </w:style>
  <w:style w:type="character" w:customStyle="1" w:styleId="22">
    <w:name w:val="font01"/>
    <w:basedOn w:val="12"/>
    <w:autoRedefine/>
    <w:qFormat/>
    <w:uiPriority w:val="0"/>
    <w:rPr>
      <w:rFonts w:hint="eastAsia" w:ascii="仿宋" w:hAnsi="仿宋" w:eastAsia="仿宋" w:cs="仿宋"/>
      <w:color w:val="000000"/>
      <w:sz w:val="24"/>
      <w:szCs w:val="24"/>
      <w:u w:val="none"/>
    </w:rPr>
  </w:style>
  <w:style w:type="character" w:customStyle="1" w:styleId="23">
    <w:name w:val="font21"/>
    <w:basedOn w:val="12"/>
    <w:autoRedefine/>
    <w:qFormat/>
    <w:uiPriority w:val="0"/>
    <w:rPr>
      <w:rFonts w:hint="eastAsia" w:ascii="仿宋" w:hAnsi="仿宋" w:eastAsia="仿宋" w:cs="仿宋"/>
      <w:color w:val="000000"/>
      <w:sz w:val="24"/>
      <w:szCs w:val="24"/>
      <w:u w:val="none"/>
    </w:rPr>
  </w:style>
  <w:style w:type="paragraph" w:customStyle="1" w:styleId="24">
    <w:name w:val="列出段落2"/>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chart" Target="charts/chart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sunqiang2\Desktop\4.29\&#21407;&#26448;&#26009;&#30899;&#36275;&#36857;.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r>
              <a:t>各活动水平碳足迹占比</a:t>
            </a:r>
          </a:p>
        </c:rich>
      </c:tx>
      <c:layout/>
      <c:overlay val="0"/>
      <c:spPr>
        <a:noFill/>
        <a:ln>
          <a:noFill/>
        </a:ln>
        <a:effectLst/>
      </c:spPr>
    </c:title>
    <c:autoTitleDeleted val="0"/>
    <c:plotArea>
      <c:layout/>
      <c:barChart>
        <c:barDir val="bar"/>
        <c:grouping val="clustered"/>
        <c:varyColors val="0"/>
        <c:ser>
          <c:idx val="0"/>
          <c:order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a:solidFill>
                        <a:schemeClr val="dk1">
                          <a:lumMod val="35000"/>
                          <a:lumOff val="65000"/>
                        </a:schemeClr>
                      </a:solidFill>
                    </a:ln>
                    <a:effectLst/>
                  </c:spPr>
                </c15:leaderLines>
              </c:ext>
            </c:extLst>
          </c:dLbls>
          <c:cat>
            <c:strRef>
              <c:f>[原材料碳足迹.xlsx]碳足迹资料清单!$F$36:$F$40</c:f>
              <c:strCache>
                <c:ptCount val="5"/>
                <c:pt idx="0">
                  <c:v>电（万kWh）</c:v>
                </c:pt>
                <c:pt idx="1">
                  <c:v>模胚（吨）</c:v>
                </c:pt>
                <c:pt idx="2">
                  <c:v>钢料（吨）</c:v>
                </c:pt>
                <c:pt idx="3">
                  <c:v>铜料（吨）</c:v>
                </c:pt>
                <c:pt idx="4">
                  <c:v>轻型汽油货车运输（公里）</c:v>
                </c:pt>
              </c:strCache>
            </c:strRef>
          </c:cat>
          <c:val>
            <c:numRef>
              <c:f>[原材料碳足迹.xlsx]碳足迹资料清单!$G$36:$G$40</c:f>
              <c:numCache>
                <c:formatCode>0.00%</c:formatCode>
                <c:ptCount val="5"/>
                <c:pt idx="0">
                  <c:v>0.514</c:v>
                </c:pt>
                <c:pt idx="1">
                  <c:v>0.2297</c:v>
                </c:pt>
                <c:pt idx="2">
                  <c:v>0.0039</c:v>
                </c:pt>
                <c:pt idx="3">
                  <c:v>0.0467</c:v>
                </c:pt>
                <c:pt idx="4">
                  <c:v>0.2057</c:v>
                </c:pt>
              </c:numCache>
            </c:numRef>
          </c:val>
        </c:ser>
        <c:dLbls>
          <c:showLegendKey val="0"/>
          <c:showVal val="1"/>
          <c:showCatName val="0"/>
          <c:showSerName val="0"/>
          <c:showPercent val="0"/>
          <c:showBubbleSize val="0"/>
        </c:dLbls>
        <c:gapWidth val="500"/>
        <c:overlap val="0"/>
        <c:axId val="930683817"/>
        <c:axId val="131474425"/>
      </c:barChart>
      <c:catAx>
        <c:axId val="930683817"/>
        <c:scaling>
          <c:orientation val="minMax"/>
        </c:scaling>
        <c:delete val="0"/>
        <c:axPos val="l"/>
        <c:majorTickMark val="none"/>
        <c:minorTickMark val="none"/>
        <c:tickLblPos val="nextTo"/>
        <c:spPr>
          <a:noFill/>
          <a:ln w="9525" cap="flat" cmpd="sng" algn="ctr">
            <a:solidFill>
              <a:schemeClr val="dk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131474425"/>
        <c:crosses val="autoZero"/>
        <c:auto val="1"/>
        <c:lblAlgn val="ctr"/>
        <c:lblOffset val="100"/>
        <c:noMultiLvlLbl val="0"/>
      </c:catAx>
      <c:valAx>
        <c:axId val="131474425"/>
        <c:scaling>
          <c:orientation val="minMax"/>
        </c:scaling>
        <c:delete val="1"/>
        <c:axPos val="b"/>
        <c:numFmt formatCode="0.00%" sourceLinked="1"/>
        <c:majorTickMark val="none"/>
        <c:minorTickMark val="none"/>
        <c:tickLblPos val="nextTo"/>
        <c:txPr>
          <a:bodyPr rot="-6000000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crossAx val="930683817"/>
        <c:crosses val="autoZero"/>
        <c:crossBetween val="between"/>
      </c:valAx>
      <c:spPr>
        <a:noFill/>
        <a:ln>
          <a:noFill/>
        </a:ln>
        <a:effectLst/>
      </c:spPr>
    </c:plotArea>
    <c:plotVisOnly val="1"/>
    <c:dispBlanksAs val="gap"/>
    <c:showDLblsOverMax val="0"/>
    <c:extLst>
      <c:ext uri="{0b15fc19-7d7d-44ad-8c2d-2c3a37ce22c3}">
        <chartProps xmlns="https://web.wps.cn/et/2018/main" chartId="{038c589c-e87e-4474-858c-799974e3649d}"/>
      </c:ext>
    </c:extLst>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8">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3377</Words>
  <Characters>3922</Characters>
  <Lines>29</Lines>
  <Paragraphs>8</Paragraphs>
  <TotalTime>11</TotalTime>
  <ScaleCrop>false</ScaleCrop>
  <LinksUpToDate>false</LinksUpToDate>
  <CharactersWithSpaces>3959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2021-12-18T14:51:00Z</dcterms:created>
  <dc:creator>Administrator</dc:creator>
  <cp:lastModifiedBy>Mark</cp:lastModifiedBy>
  <cp:lastPrinted>2024-01-16T01:23:00Z</cp:lastPrinted>
  <dcterms:modified xsi:type="dcterms:W3CDTF">2025-04-29T06:27:48Z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8ED2863EB68144518E44B94B2F6EEE2C_12</vt:lpwstr>
  </property>
  <property fmtid="{D5CDD505-2E9C-101B-9397-08002B2CF9AE}" pid="4" name="KSOTemplateDocerSaveRecord">
    <vt:lpwstr>eyJoZGlkIjoiMzYxNDIzZWI3NGU4ZjM5NmI4YzcwMWRlN2E5OTU1YzIiLCJ1c2VySWQiOiIyMjMzNjk4MjgifQ==</vt:lpwstr>
  </property>
</Properties>
</file>